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9A" w:rsidRPr="008E079A" w:rsidRDefault="008E079A" w:rsidP="008E079A">
      <w:pPr>
        <w:spacing w:after="0" w:line="240" w:lineRule="auto"/>
        <w:jc w:val="center"/>
        <w:rPr>
          <w:rFonts w:eastAsia="Calibri"/>
          <w:b/>
          <w:bCs/>
          <w:smallCaps/>
          <w:spacing w:val="5"/>
          <w:sz w:val="28"/>
          <w:szCs w:val="28"/>
        </w:rPr>
      </w:pPr>
      <w:r w:rsidRPr="008E079A">
        <w:rPr>
          <w:rFonts w:eastAsia="Calibri"/>
          <w:b/>
          <w:bCs/>
          <w:smallCaps/>
          <w:spacing w:val="5"/>
          <w:sz w:val="28"/>
          <w:szCs w:val="28"/>
        </w:rPr>
        <w:t>Grant County Eco Watershed Planning Group</w:t>
      </w:r>
    </w:p>
    <w:p w:rsidR="008E079A" w:rsidRPr="008E079A" w:rsidRDefault="008E079A" w:rsidP="008E079A">
      <w:pPr>
        <w:spacing w:after="0" w:line="240" w:lineRule="auto"/>
        <w:jc w:val="center"/>
        <w:rPr>
          <w:rFonts w:eastAsia="Calibri"/>
          <w:b/>
          <w:bCs/>
          <w:smallCaps/>
          <w:spacing w:val="5"/>
          <w:sz w:val="28"/>
          <w:szCs w:val="28"/>
        </w:rPr>
      </w:pPr>
      <w:r>
        <w:rPr>
          <w:rFonts w:eastAsia="Calibri"/>
          <w:b/>
          <w:bCs/>
          <w:smallCaps/>
          <w:spacing w:val="5"/>
          <w:sz w:val="28"/>
          <w:szCs w:val="28"/>
        </w:rPr>
        <w:t>February 17</w:t>
      </w:r>
      <w:r w:rsidRPr="008E079A">
        <w:rPr>
          <w:rFonts w:eastAsia="Calibri"/>
          <w:b/>
          <w:bCs/>
          <w:smallCaps/>
          <w:spacing w:val="5"/>
          <w:sz w:val="28"/>
          <w:szCs w:val="28"/>
        </w:rPr>
        <w:t>, 2015 Meeting</w:t>
      </w:r>
    </w:p>
    <w:p w:rsidR="008E079A" w:rsidRPr="008E079A" w:rsidRDefault="008E079A" w:rsidP="008E079A">
      <w:pPr>
        <w:spacing w:after="0" w:line="240" w:lineRule="auto"/>
        <w:jc w:val="center"/>
        <w:rPr>
          <w:rFonts w:eastAsia="Calibri"/>
          <w:b/>
          <w:bCs/>
          <w:smallCaps/>
          <w:spacing w:val="5"/>
          <w:sz w:val="28"/>
          <w:szCs w:val="28"/>
        </w:rPr>
      </w:pPr>
    </w:p>
    <w:p w:rsidR="008E079A" w:rsidRPr="008E079A" w:rsidRDefault="008E079A" w:rsidP="008E079A">
      <w:pPr>
        <w:spacing w:after="0" w:line="240" w:lineRule="auto"/>
        <w:jc w:val="center"/>
        <w:rPr>
          <w:rFonts w:eastAsia="Calibri"/>
          <w:b/>
          <w:bCs/>
          <w:smallCaps/>
          <w:spacing w:val="5"/>
          <w:sz w:val="28"/>
          <w:szCs w:val="28"/>
          <w:u w:val="single"/>
        </w:rPr>
      </w:pPr>
      <w:r w:rsidRPr="008E079A">
        <w:rPr>
          <w:rFonts w:eastAsia="Calibri"/>
          <w:b/>
          <w:bCs/>
          <w:smallCaps/>
          <w:spacing w:val="5"/>
          <w:sz w:val="28"/>
          <w:szCs w:val="28"/>
        </w:rPr>
        <w:t xml:space="preserve">summary minutes by Vicky Estrada                                                                                                                                                                                                                                                                                                                                                                                                                                                                                       </w:t>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p>
    <w:p w:rsidR="001A28FA" w:rsidRDefault="00E40A05" w:rsidP="008E079A">
      <w:pPr>
        <w:spacing w:after="0" w:line="240" w:lineRule="auto"/>
        <w:jc w:val="center"/>
        <w:rPr>
          <w:rFonts w:eastAsia="Calibri"/>
          <w:b/>
          <w:bCs/>
          <w:smallCaps/>
          <w:spacing w:val="5"/>
          <w:szCs w:val="24"/>
        </w:rPr>
      </w:pPr>
      <w:r>
        <w:rPr>
          <w:rStyle w:val="BookTitle"/>
          <w:sz w:val="28"/>
          <w:szCs w:val="28"/>
        </w:rPr>
        <w:t xml:space="preserve">                                                                                                                                                                                                                                                                                                                                                                                                                                                                                       </w:t>
      </w:r>
    </w:p>
    <w:p w:rsidR="001A28FA" w:rsidRPr="008E079A" w:rsidRDefault="008E079A" w:rsidP="008E079A">
      <w:pPr>
        <w:rPr>
          <w:b/>
        </w:rPr>
      </w:pPr>
      <w:r w:rsidRPr="008E079A">
        <w:rPr>
          <w:b/>
        </w:rPr>
        <w:t>Membership and Organization</w:t>
      </w:r>
    </w:p>
    <w:p w:rsidR="00EC5B36" w:rsidRPr="008E079A" w:rsidRDefault="008E079A" w:rsidP="008E079A">
      <w:r>
        <w:t>Due to postponement of confirmation by County Commissioners at their previous meeting, this topic was tabled until next meeting.</w:t>
      </w:r>
    </w:p>
    <w:p w:rsidR="00EC5B36" w:rsidRPr="008E079A" w:rsidRDefault="00EC5B36" w:rsidP="008E079A">
      <w:pPr>
        <w:tabs>
          <w:tab w:val="left" w:pos="1350"/>
        </w:tabs>
        <w:spacing w:after="0" w:line="240" w:lineRule="auto"/>
        <w:jc w:val="both"/>
        <w:rPr>
          <w:rFonts w:eastAsia="Calibri"/>
          <w:b/>
          <w:szCs w:val="24"/>
        </w:rPr>
      </w:pPr>
      <w:r w:rsidRPr="008E079A">
        <w:rPr>
          <w:rFonts w:eastAsia="Calibri"/>
          <w:b/>
          <w:szCs w:val="24"/>
        </w:rPr>
        <w:t>Partnership Video Highlights/Partnership Ground Rules</w:t>
      </w:r>
    </w:p>
    <w:p w:rsidR="00EC5B36" w:rsidRDefault="00EC5B36" w:rsidP="00EC5B36">
      <w:pPr>
        <w:spacing w:after="0" w:line="240" w:lineRule="auto"/>
        <w:jc w:val="both"/>
        <w:rPr>
          <w:rFonts w:eastAsia="Calibri"/>
          <w:szCs w:val="24"/>
        </w:rPr>
      </w:pPr>
    </w:p>
    <w:p w:rsidR="00045D4C" w:rsidRDefault="008E079A" w:rsidP="008E079A">
      <w:pPr>
        <w:pStyle w:val="ListParagraph"/>
        <w:spacing w:after="0" w:line="240" w:lineRule="auto"/>
        <w:ind w:left="0"/>
        <w:rPr>
          <w:rFonts w:eastAsia="Calibri"/>
          <w:szCs w:val="24"/>
        </w:rPr>
      </w:pPr>
      <w:r>
        <w:rPr>
          <w:rFonts w:eastAsia="Calibri"/>
          <w:szCs w:val="24"/>
        </w:rPr>
        <w:t xml:space="preserve">Some planning group participants had been able to download and watch, while others were not able to link to the video. </w:t>
      </w:r>
      <w:r w:rsidR="00045D4C">
        <w:rPr>
          <w:rFonts w:eastAsia="Calibri"/>
          <w:szCs w:val="24"/>
        </w:rPr>
        <w:t xml:space="preserve">Vicky distributed a handout that summarized partnership video highlights. She went over common qualities identified by partners in the video that contributed to successful partnerships (See Appendix A). </w:t>
      </w:r>
    </w:p>
    <w:p w:rsidR="00045D4C" w:rsidRDefault="00045D4C" w:rsidP="008E079A">
      <w:pPr>
        <w:pStyle w:val="ListParagraph"/>
        <w:spacing w:after="0" w:line="240" w:lineRule="auto"/>
        <w:ind w:left="0"/>
        <w:rPr>
          <w:rFonts w:eastAsia="Calibri"/>
          <w:szCs w:val="24"/>
        </w:rPr>
      </w:pPr>
    </w:p>
    <w:p w:rsidR="00045D4C" w:rsidRPr="00045D4C" w:rsidRDefault="00045D4C" w:rsidP="008E079A">
      <w:pPr>
        <w:pStyle w:val="ListParagraph"/>
        <w:spacing w:after="0" w:line="240" w:lineRule="auto"/>
        <w:ind w:left="0"/>
        <w:rPr>
          <w:rFonts w:eastAsia="Calibri"/>
          <w:b/>
          <w:szCs w:val="24"/>
        </w:rPr>
      </w:pPr>
      <w:r w:rsidRPr="00045D4C">
        <w:rPr>
          <w:rFonts w:eastAsia="Calibri"/>
          <w:b/>
          <w:szCs w:val="24"/>
        </w:rPr>
        <w:t xml:space="preserve">Presentation of Projects </w:t>
      </w:r>
      <w:proofErr w:type="gramStart"/>
      <w:r w:rsidRPr="00045D4C">
        <w:rPr>
          <w:rFonts w:eastAsia="Calibri"/>
          <w:b/>
          <w:szCs w:val="24"/>
        </w:rPr>
        <w:t>Within</w:t>
      </w:r>
      <w:proofErr w:type="gramEnd"/>
      <w:r w:rsidRPr="00045D4C">
        <w:rPr>
          <w:rFonts w:eastAsia="Calibri"/>
          <w:b/>
          <w:szCs w:val="24"/>
        </w:rPr>
        <w:t xml:space="preserve"> Priority Project Area by Land Management Agencies</w:t>
      </w:r>
    </w:p>
    <w:p w:rsidR="00071F12" w:rsidRDefault="00071F12" w:rsidP="008E079A">
      <w:pPr>
        <w:pStyle w:val="ListParagraph"/>
        <w:spacing w:after="0" w:line="240" w:lineRule="auto"/>
        <w:ind w:left="0"/>
        <w:rPr>
          <w:rFonts w:eastAsia="Calibri"/>
          <w:szCs w:val="24"/>
        </w:rPr>
      </w:pPr>
    </w:p>
    <w:p w:rsidR="007507B0" w:rsidRDefault="00071F12" w:rsidP="008E079A">
      <w:pPr>
        <w:pStyle w:val="ListParagraph"/>
        <w:spacing w:after="0" w:line="240" w:lineRule="auto"/>
        <w:ind w:left="0"/>
        <w:rPr>
          <w:rFonts w:eastAsia="Calibri"/>
          <w:szCs w:val="24"/>
        </w:rPr>
      </w:pPr>
      <w:r>
        <w:rPr>
          <w:rFonts w:eastAsia="Calibri"/>
          <w:szCs w:val="24"/>
        </w:rPr>
        <w:t>Vicky reviewed the long-term goals of group identified early in process - improvement of watershed health within Grant County through increased collaboration across landownerships in order to inform and engage more partners in the prevention of watershed scale catastrophic events, and increase the amount of on-the-ground treatment to improve watershed condition.</w:t>
      </w:r>
    </w:p>
    <w:p w:rsidR="00565319" w:rsidRDefault="00565319" w:rsidP="00565319">
      <w:pPr>
        <w:spacing w:after="0" w:line="240" w:lineRule="auto"/>
        <w:jc w:val="both"/>
        <w:rPr>
          <w:rFonts w:eastAsia="Calibri"/>
          <w:szCs w:val="24"/>
        </w:rPr>
      </w:pPr>
    </w:p>
    <w:p w:rsidR="00565319" w:rsidRPr="00B71D77" w:rsidRDefault="00071F12" w:rsidP="00071F12">
      <w:pPr>
        <w:spacing w:after="0" w:line="240" w:lineRule="auto"/>
        <w:rPr>
          <w:rFonts w:eastAsia="Calibri"/>
          <w:b/>
          <w:szCs w:val="24"/>
        </w:rPr>
      </w:pPr>
      <w:r w:rsidRPr="00071F12">
        <w:rPr>
          <w:rFonts w:eastAsia="Calibri"/>
          <w:szCs w:val="24"/>
        </w:rPr>
        <w:t xml:space="preserve">Vicky Estrada </w:t>
      </w:r>
      <w:r w:rsidR="00B71D77">
        <w:rPr>
          <w:rFonts w:eastAsia="Calibri"/>
          <w:szCs w:val="24"/>
        </w:rPr>
        <w:t>reviewed the map displayed that showed the w</w:t>
      </w:r>
      <w:r w:rsidRPr="00071F12">
        <w:rPr>
          <w:rFonts w:eastAsia="Calibri"/>
          <w:szCs w:val="24"/>
        </w:rPr>
        <w:t xml:space="preserve">atershed </w:t>
      </w:r>
      <w:r w:rsidR="00B71D77">
        <w:rPr>
          <w:rFonts w:eastAsia="Calibri"/>
          <w:szCs w:val="24"/>
        </w:rPr>
        <w:t>p</w:t>
      </w:r>
      <w:r w:rsidRPr="00071F12">
        <w:rPr>
          <w:rFonts w:eastAsia="Calibri"/>
          <w:szCs w:val="24"/>
        </w:rPr>
        <w:t xml:space="preserve">riority </w:t>
      </w:r>
      <w:r w:rsidR="00B71D77">
        <w:rPr>
          <w:rFonts w:eastAsia="Calibri"/>
          <w:szCs w:val="24"/>
        </w:rPr>
        <w:t>boundary and land ownership. Various l</w:t>
      </w:r>
      <w:r w:rsidR="00565319" w:rsidRPr="00071F12">
        <w:rPr>
          <w:rFonts w:eastAsia="Calibri"/>
          <w:szCs w:val="24"/>
        </w:rPr>
        <w:t xml:space="preserve">and </w:t>
      </w:r>
      <w:r w:rsidR="00B71D77">
        <w:rPr>
          <w:rFonts w:eastAsia="Calibri"/>
          <w:szCs w:val="24"/>
        </w:rPr>
        <w:t>m</w:t>
      </w:r>
      <w:r w:rsidR="00565319" w:rsidRPr="00071F12">
        <w:rPr>
          <w:rFonts w:eastAsia="Calibri"/>
          <w:szCs w:val="24"/>
        </w:rPr>
        <w:t xml:space="preserve">anagement </w:t>
      </w:r>
      <w:r w:rsidR="00B71D77">
        <w:rPr>
          <w:rFonts w:eastAsia="Calibri"/>
          <w:szCs w:val="24"/>
        </w:rPr>
        <w:t>a</w:t>
      </w:r>
      <w:r w:rsidR="00565319" w:rsidRPr="00071F12">
        <w:rPr>
          <w:rFonts w:eastAsia="Calibri"/>
          <w:szCs w:val="24"/>
        </w:rPr>
        <w:t>genc</w:t>
      </w:r>
      <w:r w:rsidR="00B71D77">
        <w:rPr>
          <w:rFonts w:eastAsia="Calibri"/>
          <w:szCs w:val="24"/>
        </w:rPr>
        <w:t>y representatives pointed out the p</w:t>
      </w:r>
      <w:r w:rsidR="00565319" w:rsidRPr="00071F12">
        <w:rPr>
          <w:rFonts w:eastAsia="Calibri"/>
          <w:szCs w:val="24"/>
        </w:rPr>
        <w:t xml:space="preserve">ast, </w:t>
      </w:r>
      <w:r w:rsidR="00B71D77">
        <w:rPr>
          <w:rFonts w:eastAsia="Calibri"/>
          <w:szCs w:val="24"/>
        </w:rPr>
        <w:t>c</w:t>
      </w:r>
      <w:r w:rsidR="00565319" w:rsidRPr="00071F12">
        <w:rPr>
          <w:rFonts w:eastAsia="Calibri"/>
          <w:szCs w:val="24"/>
        </w:rPr>
        <w:t>urrent</w:t>
      </w:r>
      <w:r w:rsidR="00620D3F">
        <w:rPr>
          <w:rFonts w:eastAsia="Calibri"/>
          <w:szCs w:val="24"/>
        </w:rPr>
        <w:t>,</w:t>
      </w:r>
      <w:r w:rsidR="00565319" w:rsidRPr="00071F12">
        <w:rPr>
          <w:rFonts w:eastAsia="Calibri"/>
          <w:szCs w:val="24"/>
        </w:rPr>
        <w:t xml:space="preserve"> and </w:t>
      </w:r>
      <w:r w:rsidR="00B71D77">
        <w:rPr>
          <w:rFonts w:eastAsia="Calibri"/>
          <w:szCs w:val="24"/>
        </w:rPr>
        <w:t>f</w:t>
      </w:r>
      <w:r w:rsidR="00565319" w:rsidRPr="00071F12">
        <w:rPr>
          <w:rFonts w:eastAsia="Calibri"/>
          <w:szCs w:val="24"/>
        </w:rPr>
        <w:t xml:space="preserve">uture </w:t>
      </w:r>
      <w:r w:rsidR="00620D3F">
        <w:rPr>
          <w:rFonts w:eastAsia="Calibri"/>
          <w:szCs w:val="24"/>
        </w:rPr>
        <w:t>p</w:t>
      </w:r>
      <w:r w:rsidR="00565319" w:rsidRPr="00071F12">
        <w:rPr>
          <w:rFonts w:eastAsia="Calibri"/>
          <w:szCs w:val="24"/>
        </w:rPr>
        <w:t xml:space="preserve">lanned </w:t>
      </w:r>
      <w:r w:rsidR="00620D3F">
        <w:rPr>
          <w:rFonts w:eastAsia="Calibri"/>
          <w:szCs w:val="24"/>
        </w:rPr>
        <w:t>p</w:t>
      </w:r>
      <w:r w:rsidR="00565319" w:rsidRPr="00071F12">
        <w:rPr>
          <w:rFonts w:eastAsia="Calibri"/>
          <w:szCs w:val="24"/>
        </w:rPr>
        <w:t xml:space="preserve">rojects </w:t>
      </w:r>
      <w:r w:rsidR="00B71D77">
        <w:rPr>
          <w:rFonts w:eastAsia="Calibri"/>
          <w:szCs w:val="24"/>
        </w:rPr>
        <w:t xml:space="preserve">already identified on the map </w:t>
      </w:r>
      <w:r w:rsidR="00565319" w:rsidRPr="00071F12">
        <w:rPr>
          <w:rFonts w:eastAsia="Calibri"/>
          <w:szCs w:val="24"/>
        </w:rPr>
        <w:t xml:space="preserve">within </w:t>
      </w:r>
      <w:r w:rsidR="00B71D77">
        <w:rPr>
          <w:rFonts w:eastAsia="Calibri"/>
          <w:szCs w:val="24"/>
        </w:rPr>
        <w:t>p</w:t>
      </w:r>
      <w:r w:rsidR="00565319" w:rsidRPr="00071F12">
        <w:rPr>
          <w:rFonts w:eastAsia="Calibri"/>
          <w:szCs w:val="24"/>
        </w:rPr>
        <w:t xml:space="preserve">riority </w:t>
      </w:r>
      <w:r w:rsidR="00B71D77">
        <w:rPr>
          <w:rFonts w:eastAsia="Calibri"/>
          <w:szCs w:val="24"/>
        </w:rPr>
        <w:t>p</w:t>
      </w:r>
      <w:r w:rsidR="00565319" w:rsidRPr="00071F12">
        <w:rPr>
          <w:rFonts w:eastAsia="Calibri"/>
          <w:szCs w:val="24"/>
        </w:rPr>
        <w:t xml:space="preserve">roject </w:t>
      </w:r>
      <w:r w:rsidR="00B71D77">
        <w:rPr>
          <w:rFonts w:eastAsia="Calibri"/>
          <w:szCs w:val="24"/>
        </w:rPr>
        <w:t>a</w:t>
      </w:r>
      <w:r w:rsidR="00565319" w:rsidRPr="00071F12">
        <w:rPr>
          <w:rFonts w:eastAsia="Calibri"/>
          <w:szCs w:val="24"/>
        </w:rPr>
        <w:t xml:space="preserve">rea </w:t>
      </w:r>
      <w:r w:rsidR="00B71D77">
        <w:rPr>
          <w:rFonts w:eastAsia="Calibri"/>
          <w:szCs w:val="24"/>
        </w:rPr>
        <w:t>b</w:t>
      </w:r>
      <w:r w:rsidR="00565319" w:rsidRPr="00071F12">
        <w:rPr>
          <w:rFonts w:eastAsia="Calibri"/>
          <w:szCs w:val="24"/>
        </w:rPr>
        <w:t>oundary.</w:t>
      </w:r>
      <w:r w:rsidR="00B71D77">
        <w:rPr>
          <w:rFonts w:eastAsia="Calibri"/>
          <w:szCs w:val="24"/>
        </w:rPr>
        <w:t xml:space="preserve">  Representatives included Diane Taliaferro (USFS), T</w:t>
      </w:r>
      <w:r w:rsidR="00AD29F0">
        <w:rPr>
          <w:rFonts w:eastAsia="Calibri"/>
          <w:szCs w:val="24"/>
        </w:rPr>
        <w:t xml:space="preserve">onya </w:t>
      </w:r>
      <w:proofErr w:type="spellStart"/>
      <w:r w:rsidR="00AD29F0">
        <w:rPr>
          <w:rFonts w:eastAsia="Calibri"/>
          <w:szCs w:val="24"/>
        </w:rPr>
        <w:t>Vowles</w:t>
      </w:r>
      <w:proofErr w:type="spellEnd"/>
      <w:r w:rsidR="00AD29F0">
        <w:rPr>
          <w:rFonts w:eastAsia="Calibri"/>
          <w:szCs w:val="24"/>
        </w:rPr>
        <w:t xml:space="preserve"> (State Forestry), Gabriel Ramos (County)</w:t>
      </w:r>
    </w:p>
    <w:p w:rsidR="00565319" w:rsidRDefault="00565319" w:rsidP="00565319">
      <w:pPr>
        <w:spacing w:after="0" w:line="240" w:lineRule="auto"/>
        <w:jc w:val="both"/>
        <w:rPr>
          <w:rFonts w:eastAsia="Calibri"/>
          <w:szCs w:val="24"/>
        </w:rPr>
      </w:pPr>
    </w:p>
    <w:p w:rsidR="00157666" w:rsidRPr="00B71D77" w:rsidRDefault="00B71D77" w:rsidP="00B71D77">
      <w:pPr>
        <w:spacing w:after="0" w:line="240" w:lineRule="auto"/>
        <w:rPr>
          <w:rFonts w:eastAsia="Calibri"/>
          <w:b/>
          <w:szCs w:val="24"/>
        </w:rPr>
      </w:pPr>
      <w:r w:rsidRPr="00B71D77">
        <w:rPr>
          <w:rFonts w:eastAsia="Calibri"/>
          <w:b/>
          <w:szCs w:val="24"/>
        </w:rPr>
        <w:t>R</w:t>
      </w:r>
      <w:r w:rsidR="00DF3E39" w:rsidRPr="00B71D77">
        <w:rPr>
          <w:rFonts w:eastAsia="Calibri"/>
          <w:b/>
          <w:szCs w:val="24"/>
        </w:rPr>
        <w:t xml:space="preserve">eview </w:t>
      </w:r>
      <w:proofErr w:type="gramStart"/>
      <w:r w:rsidRPr="00B71D77">
        <w:rPr>
          <w:rFonts w:eastAsia="Calibri"/>
          <w:b/>
          <w:szCs w:val="24"/>
        </w:rPr>
        <w:t xml:space="preserve">of  </w:t>
      </w:r>
      <w:r w:rsidR="00DF3E39" w:rsidRPr="00B71D77">
        <w:rPr>
          <w:rFonts w:eastAsia="Calibri"/>
          <w:b/>
          <w:szCs w:val="24"/>
        </w:rPr>
        <w:t>Criteria</w:t>
      </w:r>
      <w:proofErr w:type="gramEnd"/>
      <w:r w:rsidR="00DF3E39" w:rsidRPr="00B71D77">
        <w:rPr>
          <w:rFonts w:eastAsia="Calibri"/>
          <w:b/>
          <w:szCs w:val="24"/>
        </w:rPr>
        <w:t xml:space="preserve"> for Selection of Project Areas within Project Priority Area</w:t>
      </w:r>
    </w:p>
    <w:p w:rsidR="00974C7A" w:rsidRDefault="00974C7A" w:rsidP="00974C7A">
      <w:pPr>
        <w:pStyle w:val="ListParagraph"/>
        <w:spacing w:after="0" w:line="240" w:lineRule="auto"/>
        <w:ind w:left="1440"/>
        <w:jc w:val="both"/>
        <w:rPr>
          <w:rFonts w:eastAsia="Calibri"/>
          <w:szCs w:val="24"/>
        </w:rPr>
      </w:pPr>
    </w:p>
    <w:p w:rsidR="00974C7A" w:rsidRPr="00B71D77" w:rsidRDefault="00974C7A" w:rsidP="00B71D77">
      <w:pPr>
        <w:spacing w:after="0" w:line="240" w:lineRule="auto"/>
        <w:rPr>
          <w:rFonts w:eastAsia="Calibri"/>
          <w:szCs w:val="24"/>
        </w:rPr>
      </w:pPr>
      <w:r w:rsidRPr="00B71D77">
        <w:rPr>
          <w:rFonts w:eastAsia="Calibri"/>
          <w:szCs w:val="24"/>
        </w:rPr>
        <w:t xml:space="preserve">Vicky </w:t>
      </w:r>
      <w:r w:rsidR="00B71D77">
        <w:rPr>
          <w:rFonts w:eastAsia="Calibri"/>
          <w:szCs w:val="24"/>
        </w:rPr>
        <w:t>briefly reviewed for new participants the group</w:t>
      </w:r>
      <w:r w:rsidRPr="00B71D77">
        <w:rPr>
          <w:rFonts w:eastAsia="Calibri"/>
          <w:szCs w:val="24"/>
        </w:rPr>
        <w:t xml:space="preserve"> exercise to determine what criteria each participants used to identify watershed-based priority project areas.  She also explained the various criteria for determining Project Priority area within Grant County.</w:t>
      </w:r>
    </w:p>
    <w:p w:rsidR="00974C7A" w:rsidRDefault="00974C7A" w:rsidP="00974C7A">
      <w:pPr>
        <w:pStyle w:val="ListParagraph"/>
        <w:spacing w:after="0" w:line="240" w:lineRule="auto"/>
        <w:ind w:left="1440"/>
        <w:jc w:val="both"/>
        <w:rPr>
          <w:rFonts w:eastAsia="Calibri"/>
          <w:szCs w:val="24"/>
        </w:rPr>
      </w:pPr>
    </w:p>
    <w:p w:rsidR="00974C7A" w:rsidRPr="004D4447" w:rsidRDefault="00974C7A" w:rsidP="00B71D77">
      <w:pPr>
        <w:spacing w:after="0" w:line="240" w:lineRule="auto"/>
        <w:jc w:val="both"/>
        <w:rPr>
          <w:rFonts w:eastAsia="Calibri"/>
          <w:b/>
          <w:szCs w:val="24"/>
        </w:rPr>
      </w:pPr>
      <w:r w:rsidRPr="004D4447">
        <w:rPr>
          <w:rFonts w:eastAsia="Calibri"/>
          <w:b/>
          <w:szCs w:val="24"/>
        </w:rPr>
        <w:t>Potential Partners and Stakeholders List by Thematic Area</w:t>
      </w:r>
    </w:p>
    <w:p w:rsidR="00974C7A" w:rsidRPr="00974C7A" w:rsidRDefault="00974C7A" w:rsidP="004D4447">
      <w:pPr>
        <w:pStyle w:val="ListParagraph"/>
        <w:spacing w:after="0"/>
        <w:ind w:left="0"/>
        <w:rPr>
          <w:rFonts w:eastAsia="Calibri"/>
          <w:szCs w:val="24"/>
        </w:rPr>
      </w:pPr>
    </w:p>
    <w:p w:rsidR="00BD3E28" w:rsidRDefault="004D4447" w:rsidP="004D4447">
      <w:pPr>
        <w:spacing w:after="0" w:line="240" w:lineRule="auto"/>
        <w:rPr>
          <w:rFonts w:eastAsia="Calibri"/>
          <w:szCs w:val="24"/>
        </w:rPr>
      </w:pPr>
      <w:r>
        <w:rPr>
          <w:rFonts w:eastAsia="Calibri"/>
          <w:szCs w:val="24"/>
        </w:rPr>
        <w:t xml:space="preserve">Vicky passed out a handout that reflected the work done by the group at the previous meeting in identifying potential areas of collaboration by partners and stakeholders by thematic areas previously identified by the group as the broad categories where collaboration could advance watershed health within the county. </w:t>
      </w:r>
      <w:r w:rsidR="00BD3E28">
        <w:rPr>
          <w:rFonts w:eastAsia="Calibri"/>
          <w:szCs w:val="24"/>
        </w:rPr>
        <w:t>T</w:t>
      </w:r>
      <w:r>
        <w:rPr>
          <w:rFonts w:eastAsia="Calibri"/>
          <w:szCs w:val="24"/>
        </w:rPr>
        <w:t xml:space="preserve">hematic categories include: </w:t>
      </w:r>
      <w:r w:rsidR="00BD3E28">
        <w:rPr>
          <w:rFonts w:eastAsia="Calibri"/>
          <w:szCs w:val="24"/>
        </w:rPr>
        <w:t xml:space="preserve">1) Emergency Preparedness and Response, 2) Education and Outreach, 3) On-The-Ground Practices, and 4) Economic Development. See Appendix B handout. </w:t>
      </w:r>
    </w:p>
    <w:p w:rsidR="00AC5F75" w:rsidRDefault="00AC5F75" w:rsidP="004D4447">
      <w:pPr>
        <w:spacing w:after="0" w:line="240" w:lineRule="auto"/>
        <w:rPr>
          <w:rFonts w:eastAsia="Calibri"/>
          <w:szCs w:val="24"/>
        </w:rPr>
      </w:pPr>
    </w:p>
    <w:p w:rsidR="00BD3E28" w:rsidRDefault="00BD3E28" w:rsidP="004D4447">
      <w:pPr>
        <w:spacing w:after="0" w:line="240" w:lineRule="auto"/>
        <w:rPr>
          <w:rFonts w:eastAsia="Calibri"/>
          <w:szCs w:val="24"/>
        </w:rPr>
      </w:pPr>
      <w:r>
        <w:rPr>
          <w:rFonts w:eastAsia="Calibri"/>
          <w:szCs w:val="24"/>
        </w:rPr>
        <w:t>Meeting Participants Included:</w:t>
      </w:r>
    </w:p>
    <w:p w:rsidR="00AC5F75" w:rsidRDefault="00AC5F75" w:rsidP="004D4447">
      <w:pPr>
        <w:spacing w:after="0" w:line="240" w:lineRule="auto"/>
        <w:rPr>
          <w:rFonts w:eastAsia="Calibri"/>
          <w:szCs w:val="24"/>
        </w:rPr>
      </w:pPr>
    </w:p>
    <w:p w:rsidR="00AC5F75" w:rsidRDefault="00AC5F75" w:rsidP="004D4447">
      <w:pPr>
        <w:spacing w:after="0" w:line="240" w:lineRule="auto"/>
        <w:rPr>
          <w:rFonts w:eastAsia="Calibri"/>
          <w:szCs w:val="24"/>
        </w:rPr>
      </w:pPr>
      <w:proofErr w:type="spellStart"/>
      <w:r>
        <w:rPr>
          <w:rFonts w:eastAsia="Calibri"/>
          <w:szCs w:val="24"/>
        </w:rPr>
        <w:t>Denisha</w:t>
      </w:r>
      <w:proofErr w:type="spellEnd"/>
      <w:r>
        <w:rPr>
          <w:rFonts w:eastAsia="Calibri"/>
          <w:szCs w:val="24"/>
        </w:rPr>
        <w:t xml:space="preserve"> Lucero</w:t>
      </w:r>
      <w:r>
        <w:rPr>
          <w:rFonts w:eastAsia="Calibri"/>
          <w:szCs w:val="24"/>
        </w:rPr>
        <w:tab/>
      </w:r>
      <w:r>
        <w:rPr>
          <w:rFonts w:eastAsia="Calibri"/>
          <w:szCs w:val="24"/>
        </w:rPr>
        <w:tab/>
        <w:t xml:space="preserve">Tonya </w:t>
      </w:r>
      <w:proofErr w:type="spellStart"/>
      <w:r>
        <w:rPr>
          <w:rFonts w:eastAsia="Calibri"/>
          <w:szCs w:val="24"/>
        </w:rPr>
        <w:t>Vowles</w:t>
      </w:r>
      <w:proofErr w:type="spellEnd"/>
      <w:r>
        <w:rPr>
          <w:rFonts w:eastAsia="Calibri"/>
          <w:szCs w:val="24"/>
        </w:rPr>
        <w:tab/>
      </w:r>
      <w:r>
        <w:rPr>
          <w:rFonts w:eastAsia="Calibri"/>
          <w:szCs w:val="24"/>
        </w:rPr>
        <w:tab/>
      </w:r>
      <w:r>
        <w:rPr>
          <w:rFonts w:eastAsia="Calibri"/>
          <w:szCs w:val="24"/>
        </w:rPr>
        <w:tab/>
        <w:t>Diane Taliaferro</w:t>
      </w:r>
    </w:p>
    <w:p w:rsidR="00AC5F75" w:rsidRDefault="00AC5F75" w:rsidP="004D4447">
      <w:pPr>
        <w:spacing w:after="0" w:line="240" w:lineRule="auto"/>
        <w:rPr>
          <w:rFonts w:eastAsia="Calibri"/>
          <w:szCs w:val="24"/>
        </w:rPr>
      </w:pPr>
      <w:r>
        <w:rPr>
          <w:rFonts w:eastAsia="Calibri"/>
          <w:szCs w:val="24"/>
        </w:rPr>
        <w:t>Gerald Schultz</w:t>
      </w:r>
      <w:r>
        <w:rPr>
          <w:rFonts w:eastAsia="Calibri"/>
          <w:szCs w:val="24"/>
        </w:rPr>
        <w:tab/>
      </w:r>
      <w:r>
        <w:rPr>
          <w:rFonts w:eastAsia="Calibri"/>
          <w:szCs w:val="24"/>
        </w:rPr>
        <w:tab/>
      </w:r>
      <w:r>
        <w:rPr>
          <w:rFonts w:eastAsia="Calibri"/>
          <w:szCs w:val="24"/>
        </w:rPr>
        <w:tab/>
        <w:t>Jeanne Mondragon</w:t>
      </w:r>
      <w:r>
        <w:rPr>
          <w:rFonts w:eastAsia="Calibri"/>
          <w:szCs w:val="24"/>
        </w:rPr>
        <w:tab/>
      </w:r>
      <w:r>
        <w:rPr>
          <w:rFonts w:eastAsia="Calibri"/>
          <w:szCs w:val="24"/>
        </w:rPr>
        <w:tab/>
        <w:t>Martha Schumann</w:t>
      </w:r>
    </w:p>
    <w:p w:rsidR="00AC5F75" w:rsidRDefault="00AC5F75" w:rsidP="004D4447">
      <w:pPr>
        <w:spacing w:after="0" w:line="240" w:lineRule="auto"/>
        <w:rPr>
          <w:rFonts w:eastAsia="Calibri"/>
          <w:szCs w:val="24"/>
        </w:rPr>
      </w:pPr>
      <w:r>
        <w:rPr>
          <w:rFonts w:eastAsia="Calibri"/>
          <w:szCs w:val="24"/>
        </w:rPr>
        <w:t>Glenn Griffin</w:t>
      </w:r>
      <w:r>
        <w:rPr>
          <w:rFonts w:eastAsia="Calibri"/>
          <w:szCs w:val="24"/>
        </w:rPr>
        <w:tab/>
      </w:r>
      <w:r>
        <w:rPr>
          <w:rFonts w:eastAsia="Calibri"/>
          <w:szCs w:val="24"/>
        </w:rPr>
        <w:tab/>
      </w:r>
      <w:r>
        <w:rPr>
          <w:rFonts w:eastAsia="Calibri"/>
          <w:szCs w:val="24"/>
        </w:rPr>
        <w:tab/>
        <w:t>Gilbert Helton</w:t>
      </w:r>
      <w:r>
        <w:rPr>
          <w:rFonts w:eastAsia="Calibri"/>
          <w:szCs w:val="24"/>
        </w:rPr>
        <w:tab/>
      </w:r>
      <w:r>
        <w:rPr>
          <w:rFonts w:eastAsia="Calibri"/>
          <w:szCs w:val="24"/>
        </w:rPr>
        <w:tab/>
      </w:r>
      <w:r>
        <w:rPr>
          <w:rFonts w:eastAsia="Calibri"/>
          <w:szCs w:val="24"/>
        </w:rPr>
        <w:tab/>
        <w:t>Vicky Estrada</w:t>
      </w:r>
    </w:p>
    <w:p w:rsidR="00AC5F75" w:rsidRDefault="00AC5F75" w:rsidP="004D4447">
      <w:pPr>
        <w:spacing w:after="0" w:line="240" w:lineRule="auto"/>
        <w:rPr>
          <w:rFonts w:eastAsia="Calibri"/>
          <w:szCs w:val="24"/>
        </w:rPr>
      </w:pPr>
      <w:r>
        <w:rPr>
          <w:rFonts w:eastAsia="Calibri"/>
          <w:szCs w:val="24"/>
        </w:rPr>
        <w:t>Cody Robertson</w:t>
      </w:r>
      <w:r>
        <w:rPr>
          <w:rFonts w:eastAsia="Calibri"/>
          <w:szCs w:val="24"/>
        </w:rPr>
        <w:tab/>
      </w:r>
      <w:r>
        <w:rPr>
          <w:rFonts w:eastAsia="Calibri"/>
          <w:szCs w:val="24"/>
        </w:rPr>
        <w:tab/>
        <w:t>Leroy Holguin</w:t>
      </w:r>
    </w:p>
    <w:p w:rsidR="00AC5F75" w:rsidRDefault="00AC5F75" w:rsidP="004D4447">
      <w:pPr>
        <w:spacing w:after="0" w:line="240" w:lineRule="auto"/>
        <w:rPr>
          <w:rFonts w:eastAsia="Calibri"/>
          <w:szCs w:val="24"/>
        </w:rPr>
      </w:pPr>
      <w:r>
        <w:rPr>
          <w:rFonts w:eastAsia="Calibri"/>
          <w:szCs w:val="24"/>
        </w:rPr>
        <w:t xml:space="preserve">Mick </w:t>
      </w:r>
      <w:proofErr w:type="spellStart"/>
      <w:r>
        <w:rPr>
          <w:rFonts w:eastAsia="Calibri"/>
          <w:szCs w:val="24"/>
        </w:rPr>
        <w:t>Deubel</w:t>
      </w:r>
      <w:proofErr w:type="spellEnd"/>
      <w:r>
        <w:rPr>
          <w:rFonts w:eastAsia="Calibri"/>
          <w:szCs w:val="24"/>
        </w:rPr>
        <w:tab/>
      </w:r>
      <w:r>
        <w:rPr>
          <w:rFonts w:eastAsia="Calibri"/>
          <w:szCs w:val="24"/>
        </w:rPr>
        <w:tab/>
      </w:r>
      <w:r>
        <w:rPr>
          <w:rFonts w:eastAsia="Calibri"/>
          <w:szCs w:val="24"/>
        </w:rPr>
        <w:tab/>
        <w:t>Fabian Montano</w:t>
      </w:r>
    </w:p>
    <w:p w:rsidR="00AC5F75" w:rsidRPr="004D4447" w:rsidRDefault="00AC5F75" w:rsidP="004D4447">
      <w:pPr>
        <w:spacing w:after="0" w:line="240" w:lineRule="auto"/>
        <w:rPr>
          <w:rFonts w:eastAsia="Calibri"/>
          <w:szCs w:val="24"/>
        </w:rPr>
      </w:pPr>
      <w:r>
        <w:rPr>
          <w:rFonts w:eastAsia="Calibri"/>
          <w:szCs w:val="24"/>
        </w:rPr>
        <w:t xml:space="preserve">Monte </w:t>
      </w:r>
      <w:proofErr w:type="spellStart"/>
      <w:r>
        <w:rPr>
          <w:rFonts w:eastAsia="Calibri"/>
          <w:szCs w:val="24"/>
        </w:rPr>
        <w:t>Topmilleer</w:t>
      </w:r>
      <w:proofErr w:type="spellEnd"/>
      <w:r>
        <w:rPr>
          <w:rFonts w:eastAsia="Calibri"/>
          <w:szCs w:val="24"/>
        </w:rPr>
        <w:tab/>
      </w:r>
      <w:r>
        <w:rPr>
          <w:rFonts w:eastAsia="Calibri"/>
          <w:szCs w:val="24"/>
        </w:rPr>
        <w:tab/>
        <w:t>Ray Torres</w:t>
      </w:r>
    </w:p>
    <w:p w:rsidR="004D4447" w:rsidRPr="00BD3E28" w:rsidRDefault="00BD3E28" w:rsidP="00BD3E28">
      <w:pPr>
        <w:pStyle w:val="ListParagraph"/>
        <w:spacing w:after="0" w:line="240" w:lineRule="auto"/>
        <w:ind w:left="1440"/>
        <w:jc w:val="center"/>
        <w:rPr>
          <w:rFonts w:eastAsia="Calibri"/>
          <w:b/>
          <w:szCs w:val="24"/>
          <w:u w:val="single"/>
        </w:rPr>
      </w:pPr>
      <w:bookmarkStart w:id="0" w:name="_GoBack"/>
      <w:bookmarkEnd w:id="0"/>
      <w:r w:rsidRPr="00BD3E28">
        <w:rPr>
          <w:rFonts w:eastAsia="Calibri"/>
          <w:b/>
          <w:szCs w:val="24"/>
          <w:u w:val="single"/>
        </w:rPr>
        <w:lastRenderedPageBreak/>
        <w:t>Appendix A</w:t>
      </w:r>
    </w:p>
    <w:p w:rsidR="00BD3E28" w:rsidRDefault="00BD3E28" w:rsidP="00BD3E28">
      <w:pPr>
        <w:pStyle w:val="ListParagraph"/>
        <w:spacing w:after="0" w:line="240" w:lineRule="auto"/>
        <w:ind w:left="1440"/>
        <w:rPr>
          <w:rFonts w:eastAsia="Calibri"/>
          <w:b/>
          <w:szCs w:val="24"/>
        </w:rPr>
      </w:pPr>
    </w:p>
    <w:p w:rsidR="00BD3E28" w:rsidRPr="00BD3E28" w:rsidRDefault="00BD3E28" w:rsidP="00BD3E28">
      <w:pPr>
        <w:rPr>
          <w:rFonts w:ascii="Calibri" w:eastAsia="Calibri" w:hAnsi="Calibri"/>
          <w:b/>
          <w:sz w:val="28"/>
          <w:szCs w:val="28"/>
        </w:rPr>
      </w:pPr>
      <w:r w:rsidRPr="00BD3E28">
        <w:rPr>
          <w:rFonts w:ascii="Calibri" w:eastAsia="Calibri" w:hAnsi="Calibri"/>
          <w:b/>
          <w:sz w:val="28"/>
          <w:szCs w:val="28"/>
          <w:u w:val="single"/>
        </w:rPr>
        <w:t>Partnership Video Highlights</w:t>
      </w:r>
      <w:r w:rsidRPr="00BD3E28">
        <w:rPr>
          <w:rFonts w:ascii="Calibri" w:eastAsia="Calibri" w:hAnsi="Calibri"/>
          <w:b/>
          <w:sz w:val="28"/>
          <w:szCs w:val="28"/>
        </w:rPr>
        <w:tab/>
      </w:r>
      <w:r w:rsidRPr="00BD3E28">
        <w:rPr>
          <w:rFonts w:ascii="Calibri" w:eastAsia="Calibri" w:hAnsi="Calibri"/>
          <w:b/>
          <w:sz w:val="28"/>
          <w:szCs w:val="28"/>
        </w:rPr>
        <w:tab/>
      </w:r>
      <w:r w:rsidRPr="00BD3E28">
        <w:rPr>
          <w:rFonts w:ascii="Calibri" w:eastAsia="Calibri" w:hAnsi="Calibri"/>
          <w:b/>
          <w:sz w:val="28"/>
          <w:szCs w:val="28"/>
        </w:rPr>
        <w:tab/>
      </w:r>
      <w:r w:rsidRPr="00BD3E28">
        <w:rPr>
          <w:rFonts w:ascii="Calibri" w:eastAsia="Calibri" w:hAnsi="Calibri"/>
          <w:b/>
          <w:sz w:val="28"/>
          <w:szCs w:val="28"/>
        </w:rPr>
        <w:tab/>
      </w:r>
      <w:r w:rsidRPr="00BD3E28">
        <w:rPr>
          <w:rFonts w:ascii="Calibri" w:eastAsia="Calibri" w:hAnsi="Calibri"/>
          <w:b/>
          <w:sz w:val="28"/>
          <w:szCs w:val="28"/>
        </w:rPr>
        <w:tab/>
      </w:r>
      <w:r w:rsidRPr="00BD3E28">
        <w:rPr>
          <w:rFonts w:ascii="Calibri" w:eastAsia="Calibri" w:hAnsi="Calibri"/>
          <w:b/>
          <w:sz w:val="28"/>
          <w:szCs w:val="28"/>
        </w:rPr>
        <w:tab/>
      </w:r>
      <w:r w:rsidRPr="00BD3E28">
        <w:rPr>
          <w:rFonts w:ascii="Calibri" w:eastAsia="Calibri" w:hAnsi="Calibri"/>
          <w:b/>
          <w:sz w:val="28"/>
          <w:szCs w:val="28"/>
        </w:rPr>
        <w:tab/>
      </w:r>
      <w:r>
        <w:rPr>
          <w:rFonts w:ascii="Calibri" w:eastAsia="Calibri" w:hAnsi="Calibri"/>
          <w:b/>
          <w:sz w:val="28"/>
          <w:szCs w:val="28"/>
        </w:rPr>
        <w:tab/>
      </w:r>
      <w:r>
        <w:rPr>
          <w:rFonts w:ascii="Calibri" w:eastAsia="Calibri" w:hAnsi="Calibri"/>
          <w:b/>
          <w:sz w:val="28"/>
          <w:szCs w:val="28"/>
        </w:rPr>
        <w:tab/>
      </w:r>
      <w:r w:rsidRPr="00BD3E28">
        <w:rPr>
          <w:rFonts w:ascii="Calibri" w:eastAsia="Calibri" w:hAnsi="Calibri"/>
          <w:sz w:val="28"/>
          <w:szCs w:val="28"/>
        </w:rPr>
        <w:t>2/17/2015</w:t>
      </w:r>
    </w:p>
    <w:p w:rsidR="00BD3E28" w:rsidRPr="00BD3E28" w:rsidRDefault="00BD3E28" w:rsidP="00BD3E28">
      <w:pPr>
        <w:rPr>
          <w:rFonts w:ascii="Calibri" w:eastAsia="Calibri" w:hAnsi="Calibri"/>
          <w:b/>
          <w:szCs w:val="24"/>
          <w:u w:val="single"/>
        </w:rPr>
      </w:pPr>
      <w:r w:rsidRPr="00BD3E28">
        <w:rPr>
          <w:rFonts w:ascii="Calibri" w:eastAsia="Calibri" w:hAnsi="Calibri"/>
          <w:b/>
          <w:szCs w:val="24"/>
          <w:u w:val="single"/>
        </w:rPr>
        <w:t>Successful Partnerships: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put common interests in front of position</w:t>
      </w:r>
    </w:p>
    <w:p w:rsidR="00BD3E28" w:rsidRPr="00BD3E28" w:rsidRDefault="00BD3E28" w:rsidP="00BD3E28">
      <w:pPr>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strength</w:t>
      </w:r>
      <w:proofErr w:type="gramEnd"/>
      <w:r w:rsidRPr="00BD3E28">
        <w:rPr>
          <w:rFonts w:ascii="Calibri" w:eastAsia="Calibri" w:hAnsi="Calibri"/>
          <w:szCs w:val="24"/>
        </w:rPr>
        <w:t xml:space="preserve"> of each agency/organization brought together</w:t>
      </w:r>
    </w:p>
    <w:p w:rsidR="00BD3E28" w:rsidRPr="00BD3E28" w:rsidRDefault="00BD3E28" w:rsidP="00BD3E28">
      <w:pPr>
        <w:rPr>
          <w:rFonts w:ascii="Calibri" w:eastAsia="Calibri" w:hAnsi="Calibri"/>
          <w:b/>
          <w:szCs w:val="24"/>
          <w:u w:val="single"/>
        </w:rPr>
      </w:pPr>
      <w:r w:rsidRPr="00BD3E28">
        <w:rPr>
          <w:rFonts w:ascii="Calibri" w:eastAsia="Calibri" w:hAnsi="Calibri"/>
          <w:b/>
          <w:szCs w:val="24"/>
          <w:u w:val="single"/>
        </w:rPr>
        <w:t>Agencies Should:</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coordinate internal agency effort</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assess climate in own organization- limitations and capabilities</w:t>
      </w:r>
    </w:p>
    <w:p w:rsidR="00BD3E28" w:rsidRPr="00BD3E28" w:rsidRDefault="00BD3E28" w:rsidP="00BD3E28">
      <w:pPr>
        <w:spacing w:after="0"/>
        <w:rPr>
          <w:rFonts w:ascii="Calibri" w:eastAsia="Calibri" w:hAnsi="Calibri"/>
          <w:b/>
          <w:szCs w:val="24"/>
        </w:rPr>
      </w:pPr>
    </w:p>
    <w:p w:rsidR="00BD3E28" w:rsidRPr="00BD3E28" w:rsidRDefault="00BD3E28" w:rsidP="00BD3E28">
      <w:pPr>
        <w:rPr>
          <w:rFonts w:ascii="Calibri" w:eastAsia="Calibri" w:hAnsi="Calibri"/>
          <w:b/>
          <w:szCs w:val="24"/>
          <w:u w:val="single"/>
        </w:rPr>
      </w:pPr>
      <w:r w:rsidRPr="00BD3E28">
        <w:rPr>
          <w:rFonts w:ascii="Calibri" w:eastAsia="Calibri" w:hAnsi="Calibri"/>
          <w:b/>
          <w:szCs w:val="24"/>
          <w:u w:val="single"/>
        </w:rPr>
        <w:t>Multi-agency Partnerships Should:</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coordinate message that resonates with community </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help community members understand their role</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coordinate planning strategy</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understanding issues and what partners most value</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involve important local leaders to motivate and get communities involved</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help develop infrastructure of industry in place as part of partnership</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build</w:t>
      </w:r>
      <w:proofErr w:type="gramEnd"/>
      <w:r w:rsidRPr="00BD3E28">
        <w:rPr>
          <w:rFonts w:ascii="Calibri" w:eastAsia="Calibri" w:hAnsi="Calibri"/>
          <w:szCs w:val="24"/>
        </w:rPr>
        <w:t xml:space="preserve"> relationships with those that have stake in the outcome-let everyone air their concerns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build on relationships and the connections they already have established within the communities</w:t>
      </w:r>
    </w:p>
    <w:p w:rsidR="00BD3E28" w:rsidRPr="00BD3E28" w:rsidRDefault="00BD3E28" w:rsidP="00BD3E28">
      <w:pPr>
        <w:spacing w:after="0"/>
        <w:rPr>
          <w:rFonts w:ascii="Calibri" w:eastAsia="Calibri" w:hAnsi="Calibri"/>
          <w:b/>
          <w:szCs w:val="24"/>
        </w:rPr>
      </w:pPr>
    </w:p>
    <w:p w:rsidR="00BD3E28" w:rsidRPr="00BD3E28" w:rsidRDefault="00BD3E28" w:rsidP="00BD3E28">
      <w:pPr>
        <w:rPr>
          <w:rFonts w:ascii="Calibri" w:eastAsia="Calibri" w:hAnsi="Calibri"/>
          <w:b/>
          <w:szCs w:val="24"/>
          <w:u w:val="single"/>
        </w:rPr>
      </w:pPr>
      <w:r w:rsidRPr="00BD3E28">
        <w:rPr>
          <w:rFonts w:ascii="Calibri" w:eastAsia="Calibri" w:hAnsi="Calibri"/>
          <w:b/>
          <w:szCs w:val="24"/>
          <w:u w:val="single"/>
        </w:rPr>
        <w:t>Important to Remember:</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ideas</w:t>
      </w:r>
      <w:proofErr w:type="gramEnd"/>
      <w:r w:rsidRPr="00BD3E28">
        <w:rPr>
          <w:rFonts w:ascii="Calibri" w:eastAsia="Calibri" w:hAnsi="Calibri"/>
          <w:szCs w:val="24"/>
        </w:rPr>
        <w:t xml:space="preserve"> spring up from many sources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collective</w:t>
      </w:r>
      <w:proofErr w:type="gramEnd"/>
      <w:r w:rsidRPr="00BD3E28">
        <w:rPr>
          <w:rFonts w:ascii="Calibri" w:eastAsia="Calibri" w:hAnsi="Calibri"/>
          <w:szCs w:val="24"/>
        </w:rPr>
        <w:t xml:space="preserve"> group should formulate ideas and identify concerns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focus</w:t>
      </w:r>
      <w:proofErr w:type="gramEnd"/>
      <w:r w:rsidRPr="00BD3E28">
        <w:rPr>
          <w:rFonts w:ascii="Calibri" w:eastAsia="Calibri" w:hAnsi="Calibri"/>
          <w:szCs w:val="24"/>
        </w:rPr>
        <w:t xml:space="preserve"> on what people value and not their positions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establish discussion around goals not specific tools or objectives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build on communication and trust</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think</w:t>
      </w:r>
      <w:proofErr w:type="gramEnd"/>
      <w:r w:rsidRPr="00BD3E28">
        <w:rPr>
          <w:rFonts w:ascii="Calibri" w:eastAsia="Calibri" w:hAnsi="Calibri"/>
          <w:szCs w:val="24"/>
        </w:rPr>
        <w:t xml:space="preserve"> long term – each project builds on previous projects and each commitment builds on</w:t>
      </w:r>
      <w:r>
        <w:rPr>
          <w:rFonts w:ascii="Calibri" w:eastAsia="Calibri" w:hAnsi="Calibri"/>
          <w:szCs w:val="24"/>
        </w:rPr>
        <w:t xml:space="preserve"> </w:t>
      </w:r>
      <w:r w:rsidRPr="00BD3E28">
        <w:rPr>
          <w:rFonts w:ascii="Calibri" w:eastAsia="Calibri" w:hAnsi="Calibri"/>
          <w:szCs w:val="24"/>
        </w:rPr>
        <w:t>previous commitment</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partnerships</w:t>
      </w:r>
      <w:proofErr w:type="gramEnd"/>
      <w:r w:rsidRPr="00BD3E28">
        <w:rPr>
          <w:rFonts w:ascii="Calibri" w:eastAsia="Calibri" w:hAnsi="Calibri"/>
          <w:szCs w:val="24"/>
        </w:rPr>
        <w:t xml:space="preserve"> should outlast individuals within agencies</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agency</w:t>
      </w:r>
      <w:proofErr w:type="gramEnd"/>
      <w:r w:rsidRPr="00BD3E28">
        <w:rPr>
          <w:rFonts w:ascii="Calibri" w:eastAsia="Calibri" w:hAnsi="Calibri"/>
          <w:szCs w:val="24"/>
        </w:rPr>
        <w:t xml:space="preserve"> objectives can be part of agenda but agencies do not need to set agenda</w:t>
      </w:r>
    </w:p>
    <w:p w:rsidR="00BD3E28" w:rsidRPr="00BD3E28" w:rsidRDefault="00BD3E28" w:rsidP="00BD3E28">
      <w:pPr>
        <w:spacing w:after="0"/>
        <w:rPr>
          <w:rFonts w:ascii="Calibri" w:eastAsia="Calibri" w:hAnsi="Calibri"/>
          <w:szCs w:val="24"/>
        </w:rPr>
      </w:pPr>
      <w:r w:rsidRPr="00BD3E28">
        <w:rPr>
          <w:rFonts w:ascii="Calibri" w:eastAsia="Calibri" w:hAnsi="Calibri"/>
          <w:szCs w:val="24"/>
        </w:rPr>
        <w:t>-  overlapping values can be gateway to agreement</w:t>
      </w:r>
    </w:p>
    <w:p w:rsidR="00BD3E28" w:rsidRPr="00BD3E28" w:rsidRDefault="00BD3E28" w:rsidP="00BD3E28">
      <w:pPr>
        <w:rPr>
          <w:rFonts w:ascii="Calibri" w:eastAsia="Calibri" w:hAnsi="Calibri"/>
          <w:szCs w:val="24"/>
        </w:rPr>
      </w:pPr>
      <w:r w:rsidRPr="00BD3E28">
        <w:rPr>
          <w:rFonts w:ascii="Calibri" w:eastAsia="Calibri" w:hAnsi="Calibri"/>
          <w:szCs w:val="24"/>
        </w:rPr>
        <w:t xml:space="preserve">-  </w:t>
      </w:r>
      <w:proofErr w:type="gramStart"/>
      <w:r w:rsidRPr="00BD3E28">
        <w:rPr>
          <w:rFonts w:ascii="Calibri" w:eastAsia="Calibri" w:hAnsi="Calibri"/>
          <w:szCs w:val="24"/>
        </w:rPr>
        <w:t>agencies</w:t>
      </w:r>
      <w:proofErr w:type="gramEnd"/>
      <w:r w:rsidRPr="00BD3E28">
        <w:rPr>
          <w:rFonts w:ascii="Calibri" w:eastAsia="Calibri" w:hAnsi="Calibri"/>
          <w:szCs w:val="24"/>
        </w:rPr>
        <w:t xml:space="preserve"> can help communities understand and accept risk involved in decisions.  Field</w:t>
      </w:r>
      <w:r>
        <w:rPr>
          <w:rFonts w:ascii="Calibri" w:eastAsia="Calibri" w:hAnsi="Calibri"/>
          <w:szCs w:val="24"/>
        </w:rPr>
        <w:t xml:space="preserve"> </w:t>
      </w:r>
      <w:r w:rsidRPr="00BD3E28">
        <w:rPr>
          <w:rFonts w:ascii="Calibri" w:eastAsia="Calibri" w:hAnsi="Calibri"/>
          <w:szCs w:val="24"/>
        </w:rPr>
        <w:t>visits and demonstration site visits, in addition to community meetings, can be very helpful to understanding risks</w:t>
      </w:r>
    </w:p>
    <w:p w:rsidR="004D4447" w:rsidRDefault="004D4447" w:rsidP="00BD3E28">
      <w:pPr>
        <w:pStyle w:val="ListParagraph"/>
        <w:tabs>
          <w:tab w:val="left" w:pos="810"/>
        </w:tabs>
        <w:spacing w:after="0" w:line="240" w:lineRule="auto"/>
        <w:ind w:left="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4D4447" w:rsidRDefault="004D4447" w:rsidP="00157666">
      <w:pPr>
        <w:pStyle w:val="ListParagraph"/>
        <w:spacing w:after="0" w:line="240" w:lineRule="auto"/>
        <w:ind w:left="1440"/>
        <w:jc w:val="both"/>
        <w:rPr>
          <w:rFonts w:eastAsia="Calibri"/>
          <w:b/>
          <w:szCs w:val="24"/>
        </w:rPr>
      </w:pPr>
    </w:p>
    <w:p w:rsidR="00BD3E28" w:rsidRDefault="00BD3E28">
      <w:pPr>
        <w:spacing w:after="0" w:line="240" w:lineRule="auto"/>
        <w:rPr>
          <w:rFonts w:eastAsia="Calibri"/>
          <w:b/>
          <w:szCs w:val="24"/>
        </w:rPr>
        <w:sectPr w:rsidR="00BD3E28" w:rsidSect="00BD3E28">
          <w:pgSz w:w="12240" w:h="15840"/>
          <w:pgMar w:top="720" w:right="720" w:bottom="720" w:left="720" w:header="720" w:footer="720" w:gutter="0"/>
          <w:cols w:space="720"/>
          <w:docGrid w:linePitch="360"/>
        </w:sectPr>
      </w:pPr>
    </w:p>
    <w:p w:rsidR="004D4447" w:rsidRPr="00BD3E28" w:rsidRDefault="004D4447" w:rsidP="004D4447">
      <w:pPr>
        <w:rPr>
          <w:b/>
          <w:sz w:val="32"/>
          <w:szCs w:val="32"/>
          <w:u w:val="single"/>
        </w:rPr>
      </w:pPr>
      <w:r>
        <w:rPr>
          <w:b/>
          <w:sz w:val="32"/>
          <w:szCs w:val="32"/>
        </w:rPr>
        <w:lastRenderedPageBreak/>
        <w:t xml:space="preserve"> </w:t>
      </w:r>
      <w:r w:rsidRPr="00BD3E28">
        <w:rPr>
          <w:b/>
          <w:sz w:val="32"/>
          <w:szCs w:val="32"/>
          <w:u w:val="single"/>
        </w:rPr>
        <w:t>Appendix B</w:t>
      </w:r>
    </w:p>
    <w:p w:rsidR="004D4447" w:rsidRDefault="004D4447" w:rsidP="004D4447">
      <w:pPr>
        <w:rPr>
          <w:b/>
          <w:sz w:val="32"/>
          <w:szCs w:val="32"/>
        </w:rPr>
      </w:pPr>
      <w:r>
        <w:rPr>
          <w:b/>
          <w:sz w:val="32"/>
          <w:szCs w:val="32"/>
        </w:rPr>
        <w:t xml:space="preserve">Potential Partners and Stakeholders </w:t>
      </w:r>
      <w:proofErr w:type="gramStart"/>
      <w:r>
        <w:rPr>
          <w:b/>
          <w:sz w:val="32"/>
          <w:szCs w:val="32"/>
        </w:rPr>
        <w:t>By</w:t>
      </w:r>
      <w:proofErr w:type="gramEnd"/>
      <w:r>
        <w:rPr>
          <w:b/>
          <w:sz w:val="32"/>
          <w:szCs w:val="32"/>
        </w:rPr>
        <w:t xml:space="preserve"> Thematic Area:</w:t>
      </w:r>
    </w:p>
    <w:p w:rsidR="004D4447" w:rsidRDefault="004D4447" w:rsidP="004D4447">
      <w:pPr>
        <w:spacing w:line="240" w:lineRule="auto"/>
        <w:rPr>
          <w:b/>
          <w:sz w:val="28"/>
          <w:szCs w:val="28"/>
          <w:u w:val="single"/>
        </w:rPr>
      </w:pPr>
    </w:p>
    <w:p w:rsidR="004D4447" w:rsidRDefault="004D4447" w:rsidP="004D4447">
      <w:pPr>
        <w:spacing w:line="240" w:lineRule="auto"/>
        <w:rPr>
          <w:b/>
          <w:sz w:val="28"/>
          <w:szCs w:val="28"/>
          <w:u w:val="single"/>
        </w:rPr>
      </w:pPr>
      <w:r>
        <w:rPr>
          <w:b/>
          <w:sz w:val="28"/>
          <w:szCs w:val="28"/>
          <w:u w:val="single"/>
        </w:rPr>
        <w:t>Emergency Preparedness and Response</w:t>
      </w:r>
    </w:p>
    <w:p w:rsidR="004D4447" w:rsidRDefault="004D4447" w:rsidP="004D4447">
      <w:pPr>
        <w:spacing w:after="0" w:line="240" w:lineRule="auto"/>
        <w:rPr>
          <w:szCs w:val="24"/>
        </w:rPr>
      </w:pPr>
      <w:r>
        <w:rPr>
          <w:szCs w:val="24"/>
        </w:rPr>
        <w:t xml:space="preserve">Grant County Planning Department                                                                                                                           Community Government Representatives                                                                                                                           Local Fire Department Representatives                                                                                                                             Public Utilities of New Mexico (PNM)                                                                                                                                         New Mexico Gas Company        </w:t>
      </w:r>
    </w:p>
    <w:p w:rsidR="004D4447" w:rsidRDefault="004D4447" w:rsidP="004D4447">
      <w:pPr>
        <w:spacing w:line="240" w:lineRule="auto"/>
        <w:rPr>
          <w:b/>
          <w:szCs w:val="24"/>
          <w:u w:val="single"/>
        </w:rPr>
      </w:pPr>
      <w:r>
        <w:rPr>
          <w:szCs w:val="24"/>
        </w:rPr>
        <w:t xml:space="preserve">                                                                                                             </w:t>
      </w:r>
    </w:p>
    <w:p w:rsidR="004D4447" w:rsidRDefault="004D4447" w:rsidP="004D4447">
      <w:pPr>
        <w:spacing w:line="240" w:lineRule="auto"/>
        <w:rPr>
          <w:b/>
          <w:sz w:val="28"/>
          <w:szCs w:val="28"/>
          <w:u w:val="single"/>
        </w:rPr>
      </w:pPr>
      <w:r>
        <w:rPr>
          <w:b/>
          <w:sz w:val="28"/>
          <w:szCs w:val="28"/>
          <w:u w:val="single"/>
        </w:rPr>
        <w:t>Education and Outreach</w:t>
      </w:r>
    </w:p>
    <w:p w:rsidR="004D4447" w:rsidRDefault="004D4447" w:rsidP="004D4447">
      <w:pPr>
        <w:spacing w:line="240" w:lineRule="auto"/>
        <w:rPr>
          <w:szCs w:val="24"/>
        </w:rPr>
      </w:pPr>
      <w:r>
        <w:rPr>
          <w:szCs w:val="24"/>
        </w:rPr>
        <w:t xml:space="preserve">Silver City Office of Sustainability                                                                                                                                                Natural Resource Conservation Service (NRCS)                                                                                                                    New Mexico Department of Game and Fish (NMG&amp;F)                                                                                             Homeowners/Neighborhood Association Representatives                                                                                              Grant Soil and Water Conservation District (SWCD)                                                                                                               Gila Resources Information Project  (GRIP)                                                                                                                         Center for Biodiversity (CBD)                                                                                                                                                         Home Owners Insurance Companies (Farmers, State Farm, Progressive, </w:t>
      </w:r>
      <w:proofErr w:type="spellStart"/>
      <w:r>
        <w:rPr>
          <w:szCs w:val="24"/>
        </w:rPr>
        <w:t>Geico</w:t>
      </w:r>
      <w:proofErr w:type="spellEnd"/>
      <w:r>
        <w:rPr>
          <w:szCs w:val="24"/>
        </w:rPr>
        <w:t xml:space="preserve">)                                                    </w:t>
      </w:r>
      <w:proofErr w:type="spellStart"/>
      <w:r>
        <w:rPr>
          <w:szCs w:val="24"/>
        </w:rPr>
        <w:t>Audobon</w:t>
      </w:r>
      <w:proofErr w:type="spellEnd"/>
      <w:r>
        <w:rPr>
          <w:szCs w:val="24"/>
        </w:rPr>
        <w:t xml:space="preserve"> Society                                                                                                                                                                         New Mexico Forest Industry Association (NMFIA)                                                                                                         Wellness Coalition                                                                                                                                                                  Mule Deer Foundation Ducks Unlimited                                                                                                                                                Aldo Leopold Charter School                                                                                                                                                  Public and Charter Schools Within Grant County                                                                                                          Western New Mexico University (WNMU)                                                                                                                        The Nature Conservancy  (TNC)                                                                                                                                                                                                                                                                                                                                                                                                                                                                                                                                                                                                                                                                  </w:t>
      </w:r>
    </w:p>
    <w:p w:rsidR="004D4447" w:rsidRDefault="004D4447" w:rsidP="004D4447">
      <w:pPr>
        <w:spacing w:line="240" w:lineRule="auto"/>
        <w:rPr>
          <w:b/>
          <w:sz w:val="28"/>
          <w:szCs w:val="28"/>
          <w:u w:val="single"/>
        </w:rPr>
      </w:pPr>
      <w:r>
        <w:rPr>
          <w:b/>
          <w:sz w:val="28"/>
          <w:szCs w:val="28"/>
          <w:u w:val="single"/>
        </w:rPr>
        <w:t xml:space="preserve">On-the-Ground Practices </w:t>
      </w:r>
    </w:p>
    <w:p w:rsidR="004D4447" w:rsidRDefault="004D4447" w:rsidP="004D4447">
      <w:pPr>
        <w:spacing w:after="0" w:line="240" w:lineRule="auto"/>
        <w:rPr>
          <w:szCs w:val="24"/>
        </w:rPr>
      </w:pPr>
      <w:r>
        <w:rPr>
          <w:szCs w:val="24"/>
        </w:rPr>
        <w:t xml:space="preserve">Stream Dynamics                                                                                                                                                                     Upper Gila Watershed Alliance (UGWA)                                                                                                                               New Mexico Environmental Department (NMED)                                                                                                           Natural Resource Conservation Service (NRCS)                                                                                                             Freeport (Mining)                                                                                                                                                                      New Mexico Department of Game and Fish (NMG&amp;F)                                                                                                            Grant Soil and Water Conservation District (SWCD)    Grant County Cattle growers  </w:t>
      </w:r>
    </w:p>
    <w:p w:rsidR="004D4447" w:rsidRDefault="004D4447" w:rsidP="004D4447">
      <w:pPr>
        <w:spacing w:after="0" w:line="240" w:lineRule="auto"/>
        <w:rPr>
          <w:szCs w:val="24"/>
        </w:rPr>
      </w:pPr>
      <w:r>
        <w:rPr>
          <w:szCs w:val="24"/>
        </w:rPr>
        <w:t xml:space="preserve">U.S. Fish and Wildlife Service (USFWS)                                                                                                                                  Rocky Mountain Elk Foundation                                                                                                                                             </w:t>
      </w:r>
    </w:p>
    <w:p w:rsidR="004D4447" w:rsidRDefault="004D4447" w:rsidP="004D4447">
      <w:pPr>
        <w:spacing w:line="240" w:lineRule="auto"/>
        <w:rPr>
          <w:szCs w:val="24"/>
        </w:rPr>
      </w:pPr>
      <w:r>
        <w:rPr>
          <w:szCs w:val="24"/>
        </w:rPr>
        <w:lastRenderedPageBreak/>
        <w:t xml:space="preserve">                                                                                                                                                   </w:t>
      </w:r>
    </w:p>
    <w:p w:rsidR="004D4447" w:rsidRDefault="004D4447" w:rsidP="004D4447">
      <w:pPr>
        <w:spacing w:line="240" w:lineRule="auto"/>
        <w:ind w:right="108"/>
        <w:jc w:val="right"/>
        <w:rPr>
          <w:szCs w:val="24"/>
        </w:rPr>
      </w:pPr>
      <w:r>
        <w:rPr>
          <w:szCs w:val="24"/>
        </w:rPr>
        <w:t xml:space="preserve">Feb. 17, 2015    </w:t>
      </w:r>
    </w:p>
    <w:p w:rsidR="004D4447" w:rsidRDefault="004D4447" w:rsidP="004D4447">
      <w:pPr>
        <w:spacing w:line="240" w:lineRule="auto"/>
        <w:jc w:val="right"/>
        <w:rPr>
          <w:szCs w:val="24"/>
        </w:rPr>
      </w:pPr>
    </w:p>
    <w:p w:rsidR="004D4447" w:rsidRDefault="004D4447" w:rsidP="004D4447">
      <w:pPr>
        <w:spacing w:line="240" w:lineRule="auto"/>
        <w:rPr>
          <w:b/>
          <w:sz w:val="28"/>
          <w:szCs w:val="28"/>
          <w:u w:val="single"/>
        </w:rPr>
      </w:pPr>
    </w:p>
    <w:p w:rsidR="004D4447" w:rsidRDefault="004D4447" w:rsidP="004D4447">
      <w:pPr>
        <w:spacing w:line="240" w:lineRule="auto"/>
        <w:rPr>
          <w:b/>
          <w:sz w:val="28"/>
          <w:szCs w:val="28"/>
          <w:u w:val="single"/>
        </w:rPr>
      </w:pPr>
      <w:proofErr w:type="gramStart"/>
      <w:r>
        <w:rPr>
          <w:b/>
          <w:sz w:val="28"/>
          <w:szCs w:val="28"/>
          <w:u w:val="single"/>
        </w:rPr>
        <w:t>On-the-Ground Practices (cont.)</w:t>
      </w:r>
      <w:proofErr w:type="gramEnd"/>
    </w:p>
    <w:p w:rsidR="004D4447" w:rsidRDefault="004D4447" w:rsidP="004D4447">
      <w:pPr>
        <w:spacing w:line="240" w:lineRule="auto"/>
        <w:rPr>
          <w:szCs w:val="24"/>
        </w:rPr>
      </w:pPr>
      <w:r>
        <w:rPr>
          <w:szCs w:val="24"/>
        </w:rPr>
        <w:t xml:space="preserve">Bureau of Land Management (BLM)                                                                                                                                       USDA Forest Service                                                                                                                                                                      State Forestry                                                                                                                                                                   Alternative Forestry                                                                                                                                                                     Southwest Solutions                                                                                                                                                                    Gila Tree Thinners Trout Unlimited                                                                                                                                                                    National Wild Turkey Federation  New Mexico Forest and Watershed Restoration Institute (NMFWRI)     </w:t>
      </w:r>
    </w:p>
    <w:p w:rsidR="004D4447" w:rsidRDefault="004D4447" w:rsidP="004D4447">
      <w:pPr>
        <w:spacing w:after="0" w:line="240" w:lineRule="auto"/>
        <w:rPr>
          <w:b/>
          <w:sz w:val="28"/>
          <w:szCs w:val="28"/>
          <w:u w:val="single"/>
        </w:rPr>
      </w:pPr>
    </w:p>
    <w:p w:rsidR="004D4447" w:rsidRDefault="004D4447" w:rsidP="004D4447">
      <w:pPr>
        <w:spacing w:line="240" w:lineRule="auto"/>
        <w:rPr>
          <w:b/>
          <w:sz w:val="28"/>
          <w:szCs w:val="28"/>
          <w:u w:val="single"/>
        </w:rPr>
      </w:pPr>
      <w:r>
        <w:rPr>
          <w:b/>
          <w:sz w:val="28"/>
          <w:szCs w:val="28"/>
          <w:u w:val="single"/>
        </w:rPr>
        <w:t>Economic Development</w:t>
      </w:r>
    </w:p>
    <w:p w:rsidR="004D4447" w:rsidRDefault="004D4447" w:rsidP="004D4447">
      <w:pPr>
        <w:spacing w:line="240" w:lineRule="auto"/>
        <w:rPr>
          <w:szCs w:val="24"/>
        </w:rPr>
      </w:pPr>
      <w:r>
        <w:rPr>
          <w:szCs w:val="24"/>
        </w:rPr>
        <w:t xml:space="preserve">Freeport (Mining)                                                                                                                                                                    Grant County </w:t>
      </w:r>
      <w:proofErr w:type="spellStart"/>
      <w:r>
        <w:rPr>
          <w:szCs w:val="24"/>
        </w:rPr>
        <w:t>Cattlegrowers</w:t>
      </w:r>
      <w:proofErr w:type="spellEnd"/>
      <w:r>
        <w:rPr>
          <w:szCs w:val="24"/>
        </w:rPr>
        <w:t xml:space="preserve">                                                                                                                                                 Home Owners Insurance Companies (Farmers, State Farm, Progressive, </w:t>
      </w:r>
      <w:proofErr w:type="spellStart"/>
      <w:r>
        <w:rPr>
          <w:szCs w:val="24"/>
        </w:rPr>
        <w:t>Geico</w:t>
      </w:r>
      <w:proofErr w:type="spellEnd"/>
      <w:r>
        <w:rPr>
          <w:szCs w:val="24"/>
        </w:rPr>
        <w:t xml:space="preserve">)                                                               Gila </w:t>
      </w:r>
      <w:proofErr w:type="spellStart"/>
      <w:r>
        <w:rPr>
          <w:szCs w:val="24"/>
        </w:rPr>
        <w:t>WoodNet</w:t>
      </w:r>
      <w:proofErr w:type="spellEnd"/>
      <w:r>
        <w:rPr>
          <w:szCs w:val="24"/>
        </w:rPr>
        <w:t xml:space="preserve">                                                                                                                                                                                     Restoration Technologies                                                                                                                                                Southwest Solid Waste Authority                                                                                                                                          New Mexico Department of Transportation                                                                                                                          New Mexico Economic Development Department                                                                                                              New Mexico Community Businesses (Need Specific Names)                                                                                                                                                                                                               </w:t>
      </w:r>
    </w:p>
    <w:p w:rsidR="004D4447" w:rsidRDefault="004D4447" w:rsidP="004D4447">
      <w:pPr>
        <w:spacing w:line="240" w:lineRule="auto"/>
        <w:rPr>
          <w:szCs w:val="24"/>
        </w:rPr>
      </w:pPr>
      <w:r>
        <w:rPr>
          <w:szCs w:val="24"/>
        </w:rPr>
        <w:t xml:space="preserve">                                                                                                                                                                                                                                                        </w:t>
      </w:r>
    </w:p>
    <w:p w:rsidR="004D4447" w:rsidRDefault="004D4447" w:rsidP="004D4447">
      <w:pPr>
        <w:spacing w:line="240" w:lineRule="auto"/>
        <w:rPr>
          <w:szCs w:val="24"/>
        </w:rPr>
      </w:pPr>
      <w:r>
        <w:rPr>
          <w:szCs w:val="24"/>
        </w:rPr>
        <w:t xml:space="preserve">Grant Conservation Education Center (GCEC)    - eliminated, as no longer in existence                                                                                                                                                                                                                                                                                                                                                                                                                                                                                                                            </w:t>
      </w:r>
    </w:p>
    <w:p w:rsidR="004D4447" w:rsidRPr="00BC2A9F" w:rsidRDefault="004D4447" w:rsidP="00157666">
      <w:pPr>
        <w:pStyle w:val="ListParagraph"/>
        <w:spacing w:after="0" w:line="240" w:lineRule="auto"/>
        <w:ind w:left="1440"/>
        <w:jc w:val="both"/>
        <w:rPr>
          <w:rFonts w:eastAsia="Calibri"/>
          <w:b/>
          <w:szCs w:val="24"/>
        </w:rPr>
      </w:pPr>
    </w:p>
    <w:sectPr w:rsidR="004D4447" w:rsidRPr="00BC2A9F" w:rsidSect="00BD3E2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20"/>
    <w:multiLevelType w:val="hybridMultilevel"/>
    <w:tmpl w:val="A6C0AEC6"/>
    <w:lvl w:ilvl="0" w:tplc="578CF0F6">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EA2ED1"/>
    <w:multiLevelType w:val="hybridMultilevel"/>
    <w:tmpl w:val="91144972"/>
    <w:lvl w:ilvl="0" w:tplc="CD8ACC3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2E1A1C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25979"/>
    <w:multiLevelType w:val="hybridMultilevel"/>
    <w:tmpl w:val="7D189F5E"/>
    <w:lvl w:ilvl="0" w:tplc="2E56F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390098"/>
    <w:multiLevelType w:val="hybridMultilevel"/>
    <w:tmpl w:val="CA1417C0"/>
    <w:lvl w:ilvl="0" w:tplc="078E221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C46DD2"/>
    <w:multiLevelType w:val="hybridMultilevel"/>
    <w:tmpl w:val="BF0004AC"/>
    <w:lvl w:ilvl="0" w:tplc="F5765BE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CE1229"/>
    <w:multiLevelType w:val="hybridMultilevel"/>
    <w:tmpl w:val="CFBA8B74"/>
    <w:lvl w:ilvl="0" w:tplc="8AA8EAC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C175A91"/>
    <w:multiLevelType w:val="hybridMultilevel"/>
    <w:tmpl w:val="9D7E929E"/>
    <w:lvl w:ilvl="0" w:tplc="841A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A"/>
    <w:rsid w:val="00045D4C"/>
    <w:rsid w:val="00046A47"/>
    <w:rsid w:val="00071F12"/>
    <w:rsid w:val="000D0731"/>
    <w:rsid w:val="000D3935"/>
    <w:rsid w:val="000D6FFE"/>
    <w:rsid w:val="00157666"/>
    <w:rsid w:val="00174534"/>
    <w:rsid w:val="00190168"/>
    <w:rsid w:val="001A264F"/>
    <w:rsid w:val="001A28FA"/>
    <w:rsid w:val="00232C8D"/>
    <w:rsid w:val="00244B7D"/>
    <w:rsid w:val="002651F2"/>
    <w:rsid w:val="00271296"/>
    <w:rsid w:val="00283B71"/>
    <w:rsid w:val="002A2467"/>
    <w:rsid w:val="002A6004"/>
    <w:rsid w:val="002C4406"/>
    <w:rsid w:val="003022B9"/>
    <w:rsid w:val="0037398A"/>
    <w:rsid w:val="00375D7E"/>
    <w:rsid w:val="00395377"/>
    <w:rsid w:val="003A3640"/>
    <w:rsid w:val="003E28A8"/>
    <w:rsid w:val="003E584E"/>
    <w:rsid w:val="00417E36"/>
    <w:rsid w:val="00491F0C"/>
    <w:rsid w:val="00492C34"/>
    <w:rsid w:val="004D0DEE"/>
    <w:rsid w:val="004D4447"/>
    <w:rsid w:val="004E26A8"/>
    <w:rsid w:val="004F4E72"/>
    <w:rsid w:val="004F4EAE"/>
    <w:rsid w:val="005306E5"/>
    <w:rsid w:val="00550D09"/>
    <w:rsid w:val="00565319"/>
    <w:rsid w:val="005827A4"/>
    <w:rsid w:val="005938CA"/>
    <w:rsid w:val="005B146C"/>
    <w:rsid w:val="005C25AD"/>
    <w:rsid w:val="00620D3F"/>
    <w:rsid w:val="00623AC3"/>
    <w:rsid w:val="00641237"/>
    <w:rsid w:val="0066293F"/>
    <w:rsid w:val="006E0EB6"/>
    <w:rsid w:val="006E314A"/>
    <w:rsid w:val="00730266"/>
    <w:rsid w:val="0074075A"/>
    <w:rsid w:val="007418AE"/>
    <w:rsid w:val="007507B0"/>
    <w:rsid w:val="00780B91"/>
    <w:rsid w:val="00786627"/>
    <w:rsid w:val="007926C6"/>
    <w:rsid w:val="007D0A8E"/>
    <w:rsid w:val="007D44B6"/>
    <w:rsid w:val="0081585E"/>
    <w:rsid w:val="008236F6"/>
    <w:rsid w:val="00836A34"/>
    <w:rsid w:val="008C2820"/>
    <w:rsid w:val="008E079A"/>
    <w:rsid w:val="00931C17"/>
    <w:rsid w:val="00974C7A"/>
    <w:rsid w:val="00975073"/>
    <w:rsid w:val="009B6701"/>
    <w:rsid w:val="00A50004"/>
    <w:rsid w:val="00A607C2"/>
    <w:rsid w:val="00AC5F75"/>
    <w:rsid w:val="00AD29F0"/>
    <w:rsid w:val="00B546DA"/>
    <w:rsid w:val="00B716B4"/>
    <w:rsid w:val="00B71D77"/>
    <w:rsid w:val="00B74254"/>
    <w:rsid w:val="00B80B96"/>
    <w:rsid w:val="00BC2A9F"/>
    <w:rsid w:val="00BD3E28"/>
    <w:rsid w:val="00BD7B86"/>
    <w:rsid w:val="00BE0F16"/>
    <w:rsid w:val="00C31A51"/>
    <w:rsid w:val="00C52BE2"/>
    <w:rsid w:val="00C62975"/>
    <w:rsid w:val="00C755EA"/>
    <w:rsid w:val="00C84BC1"/>
    <w:rsid w:val="00C85A26"/>
    <w:rsid w:val="00C861D3"/>
    <w:rsid w:val="00C87FAE"/>
    <w:rsid w:val="00CA7571"/>
    <w:rsid w:val="00CB08DD"/>
    <w:rsid w:val="00CD27E2"/>
    <w:rsid w:val="00D35AB2"/>
    <w:rsid w:val="00D41DA9"/>
    <w:rsid w:val="00D73302"/>
    <w:rsid w:val="00D81678"/>
    <w:rsid w:val="00DA4B1A"/>
    <w:rsid w:val="00DC5FE9"/>
    <w:rsid w:val="00DF3731"/>
    <w:rsid w:val="00DF3E39"/>
    <w:rsid w:val="00E11CA4"/>
    <w:rsid w:val="00E32F94"/>
    <w:rsid w:val="00E40A05"/>
    <w:rsid w:val="00E63329"/>
    <w:rsid w:val="00E84D25"/>
    <w:rsid w:val="00EC46B6"/>
    <w:rsid w:val="00EC5B36"/>
    <w:rsid w:val="00EF18A4"/>
    <w:rsid w:val="00F40401"/>
    <w:rsid w:val="00F55D3F"/>
    <w:rsid w:val="00F83160"/>
    <w:rsid w:val="00FA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0D3935"/>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0D393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65">
      <w:bodyDiv w:val="1"/>
      <w:marLeft w:val="0"/>
      <w:marRight w:val="0"/>
      <w:marTop w:val="0"/>
      <w:marBottom w:val="0"/>
      <w:divBdr>
        <w:top w:val="none" w:sz="0" w:space="0" w:color="auto"/>
        <w:left w:val="none" w:sz="0" w:space="0" w:color="auto"/>
        <w:bottom w:val="none" w:sz="0" w:space="0" w:color="auto"/>
        <w:right w:val="none" w:sz="0" w:space="0" w:color="auto"/>
      </w:divBdr>
    </w:div>
    <w:div w:id="787357317">
      <w:bodyDiv w:val="1"/>
      <w:marLeft w:val="0"/>
      <w:marRight w:val="0"/>
      <w:marTop w:val="0"/>
      <w:marBottom w:val="0"/>
      <w:divBdr>
        <w:top w:val="none" w:sz="0" w:space="0" w:color="auto"/>
        <w:left w:val="none" w:sz="0" w:space="0" w:color="auto"/>
        <w:bottom w:val="none" w:sz="0" w:space="0" w:color="auto"/>
        <w:right w:val="none" w:sz="0" w:space="0" w:color="auto"/>
      </w:divBdr>
    </w:div>
    <w:div w:id="1074354780">
      <w:bodyDiv w:val="1"/>
      <w:marLeft w:val="0"/>
      <w:marRight w:val="0"/>
      <w:marTop w:val="0"/>
      <w:marBottom w:val="0"/>
      <w:divBdr>
        <w:top w:val="none" w:sz="0" w:space="0" w:color="auto"/>
        <w:left w:val="none" w:sz="0" w:space="0" w:color="auto"/>
        <w:bottom w:val="none" w:sz="0" w:space="0" w:color="auto"/>
        <w:right w:val="none" w:sz="0" w:space="0" w:color="auto"/>
      </w:divBdr>
    </w:div>
    <w:div w:id="1493910503">
      <w:bodyDiv w:val="1"/>
      <w:marLeft w:val="0"/>
      <w:marRight w:val="0"/>
      <w:marTop w:val="0"/>
      <w:marBottom w:val="0"/>
      <w:divBdr>
        <w:top w:val="none" w:sz="0" w:space="0" w:color="auto"/>
        <w:left w:val="none" w:sz="0" w:space="0" w:color="auto"/>
        <w:bottom w:val="none" w:sz="0" w:space="0" w:color="auto"/>
        <w:right w:val="none" w:sz="0" w:space="0" w:color="auto"/>
      </w:divBdr>
    </w:div>
    <w:div w:id="17725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Lucero</dc:creator>
  <cp:lastModifiedBy>vicky</cp:lastModifiedBy>
  <cp:revision>7</cp:revision>
  <cp:lastPrinted>2014-09-16T18:03:00Z</cp:lastPrinted>
  <dcterms:created xsi:type="dcterms:W3CDTF">2015-07-06T14:16:00Z</dcterms:created>
  <dcterms:modified xsi:type="dcterms:W3CDTF">2016-06-16T20:36:00Z</dcterms:modified>
</cp:coreProperties>
</file>