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6" w:rsidRPr="00563EEC" w:rsidRDefault="00563EEC" w:rsidP="003106D2">
      <w:pPr>
        <w:spacing w:after="60"/>
        <w:jc w:val="center"/>
        <w:rPr>
          <w:b/>
          <w:sz w:val="28"/>
        </w:rPr>
      </w:pPr>
      <w:r w:rsidRPr="00563EEC">
        <w:rPr>
          <w:b/>
          <w:sz w:val="28"/>
        </w:rPr>
        <w:t>Watershed-Based MS</w:t>
      </w:r>
      <w:r w:rsidR="000F6004" w:rsidRPr="00563EEC">
        <w:rPr>
          <w:b/>
          <w:sz w:val="28"/>
        </w:rPr>
        <w:t xml:space="preserve">4 </w:t>
      </w:r>
      <w:r w:rsidRPr="00563EEC">
        <w:rPr>
          <w:b/>
          <w:sz w:val="28"/>
        </w:rPr>
        <w:t xml:space="preserve">Pilot </w:t>
      </w:r>
      <w:r w:rsidR="000F6004" w:rsidRPr="00563EEC">
        <w:rPr>
          <w:b/>
          <w:sz w:val="28"/>
        </w:rPr>
        <w:t>Permit</w:t>
      </w:r>
      <w:r w:rsidRPr="00563EEC">
        <w:rPr>
          <w:b/>
          <w:sz w:val="28"/>
        </w:rPr>
        <w:t xml:space="preserve"> Stakeholder</w:t>
      </w:r>
      <w:r w:rsidR="000F6004" w:rsidRPr="00563EEC">
        <w:rPr>
          <w:b/>
          <w:sz w:val="28"/>
        </w:rPr>
        <w:t xml:space="preserve"> Meeting</w:t>
      </w:r>
    </w:p>
    <w:p w:rsidR="009508EE" w:rsidRPr="009B40CC" w:rsidRDefault="00A37168" w:rsidP="003106D2">
      <w:pPr>
        <w:spacing w:after="60"/>
        <w:jc w:val="center"/>
        <w:rPr>
          <w:b/>
          <w:sz w:val="24"/>
        </w:rPr>
      </w:pPr>
      <w:r>
        <w:rPr>
          <w:b/>
          <w:sz w:val="24"/>
        </w:rPr>
        <w:t>NMED District 1 Offices</w:t>
      </w:r>
      <w:r w:rsidR="000F6004" w:rsidRPr="009B40CC">
        <w:rPr>
          <w:b/>
          <w:sz w:val="24"/>
        </w:rPr>
        <w:t xml:space="preserve"> </w:t>
      </w:r>
      <w:r w:rsidR="00201AE6" w:rsidRPr="009B40CC">
        <w:rPr>
          <w:rFonts w:ascii="Times New Roman" w:hAnsi="Times New Roman" w:cs="Times New Roman"/>
          <w:b/>
          <w:sz w:val="24"/>
        </w:rPr>
        <w:t>●</w:t>
      </w:r>
      <w:r w:rsidR="00201AE6" w:rsidRPr="009B40CC">
        <w:rPr>
          <w:b/>
          <w:sz w:val="24"/>
        </w:rPr>
        <w:t xml:space="preserve"> </w:t>
      </w:r>
      <w:r>
        <w:rPr>
          <w:b/>
          <w:sz w:val="24"/>
        </w:rPr>
        <w:t>September 16</w:t>
      </w:r>
      <w:r w:rsidR="000F6004" w:rsidRPr="009B40CC">
        <w:rPr>
          <w:b/>
          <w:sz w:val="24"/>
        </w:rPr>
        <w:t>, 2011</w:t>
      </w:r>
      <w:r w:rsidR="00201AE6" w:rsidRPr="009B40CC">
        <w:rPr>
          <w:b/>
          <w:sz w:val="24"/>
        </w:rPr>
        <w:t xml:space="preserve"> </w:t>
      </w:r>
      <w:r w:rsidR="00201AE6" w:rsidRPr="009B40CC">
        <w:rPr>
          <w:rFonts w:ascii="Times New Roman" w:hAnsi="Times New Roman" w:cs="Times New Roman"/>
          <w:b/>
          <w:sz w:val="24"/>
        </w:rPr>
        <w:t>●</w:t>
      </w:r>
      <w:r w:rsidR="00201AE6" w:rsidRPr="009B40CC">
        <w:rPr>
          <w:b/>
          <w:sz w:val="24"/>
        </w:rPr>
        <w:t xml:space="preserve"> </w:t>
      </w:r>
      <w:r w:rsidR="004C4E5C">
        <w:rPr>
          <w:b/>
          <w:sz w:val="24"/>
        </w:rPr>
        <w:t>9</w:t>
      </w:r>
      <w:r w:rsidR="00201AE6" w:rsidRPr="009B40CC">
        <w:rPr>
          <w:b/>
          <w:sz w:val="24"/>
        </w:rPr>
        <w:t>:00</w:t>
      </w:r>
      <w:r w:rsidR="004C4E5C">
        <w:rPr>
          <w:b/>
          <w:sz w:val="24"/>
        </w:rPr>
        <w:t xml:space="preserve"> a.m.</w:t>
      </w:r>
      <w:r w:rsidR="00201AE6" w:rsidRPr="009B40CC">
        <w:rPr>
          <w:b/>
          <w:sz w:val="24"/>
        </w:rPr>
        <w:t>-</w:t>
      </w:r>
      <w:r w:rsidR="004C4E5C">
        <w:rPr>
          <w:b/>
          <w:sz w:val="24"/>
        </w:rPr>
        <w:t>Noon</w:t>
      </w:r>
    </w:p>
    <w:p w:rsidR="00201AE6" w:rsidRPr="009B40CC" w:rsidRDefault="00201AE6" w:rsidP="007E54BE">
      <w:pPr>
        <w:spacing w:before="200" w:after="0"/>
        <w:jc w:val="center"/>
        <w:rPr>
          <w:b/>
          <w:sz w:val="24"/>
        </w:rPr>
      </w:pPr>
      <w:r w:rsidRPr="009B40CC">
        <w:rPr>
          <w:b/>
          <w:sz w:val="24"/>
        </w:rPr>
        <w:t>Summary of Agreements/Actions</w:t>
      </w:r>
    </w:p>
    <w:p w:rsidR="00201AE6" w:rsidRPr="003106D2" w:rsidRDefault="00201AE6" w:rsidP="00201AE6">
      <w:pPr>
        <w:pBdr>
          <w:bottom w:val="single" w:sz="4" w:space="1" w:color="auto"/>
        </w:pBdr>
        <w:jc w:val="center"/>
        <w:rPr>
          <w:b/>
        </w:rPr>
      </w:pPr>
    </w:p>
    <w:p w:rsidR="009B40CC" w:rsidRDefault="00201AE6" w:rsidP="00563EEC">
      <w:pPr>
        <w:spacing w:after="60"/>
        <w:rPr>
          <w:sz w:val="21"/>
          <w:szCs w:val="21"/>
        </w:rPr>
      </w:pPr>
      <w:r w:rsidRPr="003106D2">
        <w:rPr>
          <w:sz w:val="21"/>
          <w:szCs w:val="21"/>
        </w:rPr>
        <w:t xml:space="preserve">The </w:t>
      </w:r>
      <w:r w:rsidR="00717298">
        <w:rPr>
          <w:sz w:val="21"/>
          <w:szCs w:val="21"/>
        </w:rPr>
        <w:t>September 16</w:t>
      </w:r>
      <w:r w:rsidRPr="003106D2">
        <w:rPr>
          <w:sz w:val="21"/>
          <w:szCs w:val="21"/>
        </w:rPr>
        <w:t xml:space="preserve">, 2011 meeting was attended by </w:t>
      </w:r>
      <w:r w:rsidR="00717298">
        <w:rPr>
          <w:sz w:val="21"/>
          <w:szCs w:val="21"/>
        </w:rPr>
        <w:t>42</w:t>
      </w:r>
      <w:r w:rsidRPr="003106D2">
        <w:rPr>
          <w:sz w:val="21"/>
          <w:szCs w:val="21"/>
        </w:rPr>
        <w:t xml:space="preserve"> representatives of local federal, tribal, state, county, municipal, flood control authority, and private consulting agencies. </w:t>
      </w:r>
      <w:r w:rsidR="00317BC3">
        <w:rPr>
          <w:sz w:val="21"/>
          <w:szCs w:val="21"/>
        </w:rPr>
        <w:t>Agenda items included:</w:t>
      </w:r>
    </w:p>
    <w:p w:rsidR="009B40CC" w:rsidRPr="00563EEC" w:rsidRDefault="00A37168" w:rsidP="00563EEC">
      <w:pPr>
        <w:numPr>
          <w:ilvl w:val="0"/>
          <w:numId w:val="3"/>
        </w:numPr>
        <w:spacing w:after="0" w:line="240" w:lineRule="auto"/>
        <w:rPr>
          <w:szCs w:val="20"/>
        </w:rPr>
      </w:pPr>
      <w:r>
        <w:rPr>
          <w:szCs w:val="20"/>
        </w:rPr>
        <w:t xml:space="preserve">Demonstration of Tracking/Modeling </w:t>
      </w:r>
      <w:r w:rsidR="00717298">
        <w:rPr>
          <w:szCs w:val="20"/>
        </w:rPr>
        <w:t>S</w:t>
      </w:r>
      <w:r>
        <w:rPr>
          <w:szCs w:val="20"/>
        </w:rPr>
        <w:t>oftware</w:t>
      </w:r>
    </w:p>
    <w:p w:rsidR="00F431A2" w:rsidRDefault="00A37168" w:rsidP="009B40CC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0"/>
        </w:rPr>
      </w:pPr>
      <w:r>
        <w:rPr>
          <w:szCs w:val="20"/>
        </w:rPr>
        <w:t>Comparative Review of SWMP Implementation Approaches</w:t>
      </w:r>
    </w:p>
    <w:p w:rsidR="00F431A2" w:rsidRDefault="00A37168" w:rsidP="009B40CC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0"/>
        </w:rPr>
      </w:pPr>
      <w:r>
        <w:rPr>
          <w:szCs w:val="20"/>
        </w:rPr>
        <w:t>EPA Updates</w:t>
      </w:r>
    </w:p>
    <w:p w:rsidR="009B40CC" w:rsidRDefault="00F431A2" w:rsidP="00F431A2">
      <w:pPr>
        <w:numPr>
          <w:ilvl w:val="0"/>
          <w:numId w:val="3"/>
        </w:numPr>
        <w:spacing w:before="100" w:beforeAutospacing="1" w:after="0" w:line="240" w:lineRule="auto"/>
        <w:rPr>
          <w:szCs w:val="20"/>
        </w:rPr>
      </w:pPr>
      <w:r w:rsidRPr="00F431A2">
        <w:rPr>
          <w:szCs w:val="20"/>
        </w:rPr>
        <w:t>Draft Cost-Sharing Framework</w:t>
      </w:r>
      <w:r w:rsidR="00A37168">
        <w:rPr>
          <w:szCs w:val="20"/>
        </w:rPr>
        <w:t xml:space="preserve">: Introduction of Sector Concept </w:t>
      </w:r>
    </w:p>
    <w:p w:rsidR="00F431A2" w:rsidRPr="00F431A2" w:rsidRDefault="00F431A2" w:rsidP="00F431A2">
      <w:pPr>
        <w:pBdr>
          <w:bottom w:val="single" w:sz="4" w:space="1" w:color="auto"/>
        </w:pBdr>
        <w:spacing w:after="100" w:afterAutospacing="1" w:line="240" w:lineRule="auto"/>
        <w:rPr>
          <w:szCs w:val="20"/>
        </w:rPr>
      </w:pPr>
    </w:p>
    <w:p w:rsidR="000F6004" w:rsidRPr="003106D2" w:rsidRDefault="0037763B" w:rsidP="00201AE6">
      <w:pPr>
        <w:spacing w:after="6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Discussion Points/</w:t>
      </w:r>
      <w:r w:rsidR="000F6004" w:rsidRPr="003106D2">
        <w:rPr>
          <w:b/>
          <w:i/>
          <w:sz w:val="21"/>
          <w:szCs w:val="21"/>
        </w:rPr>
        <w:t>Agreements/Actions</w:t>
      </w:r>
    </w:p>
    <w:p w:rsidR="009B40CC" w:rsidRDefault="00317BC3" w:rsidP="004E131B">
      <w:pPr>
        <w:pStyle w:val="ecxmsonormal"/>
        <w:numPr>
          <w:ilvl w:val="0"/>
          <w:numId w:val="4"/>
        </w:numPr>
        <w:shd w:val="clear" w:color="auto" w:fill="FFFFFF"/>
        <w:spacing w:after="60"/>
        <w:rPr>
          <w:rFonts w:asciiTheme="minorHAnsi" w:hAnsiTheme="minorHAnsi" w:cs="Tahoma"/>
          <w:b/>
          <w:sz w:val="21"/>
          <w:szCs w:val="21"/>
        </w:rPr>
      </w:pPr>
      <w:r w:rsidRPr="00317BC3">
        <w:rPr>
          <w:rFonts w:asciiTheme="minorHAnsi" w:hAnsiTheme="minorHAnsi" w:cs="Tahoma"/>
          <w:b/>
          <w:sz w:val="21"/>
          <w:szCs w:val="21"/>
        </w:rPr>
        <w:t xml:space="preserve">Re: </w:t>
      </w:r>
      <w:r w:rsidR="00717298">
        <w:rPr>
          <w:rFonts w:asciiTheme="minorHAnsi" w:hAnsiTheme="minorHAnsi" w:cs="Tahoma"/>
          <w:b/>
          <w:sz w:val="21"/>
          <w:szCs w:val="21"/>
        </w:rPr>
        <w:t>Demonstration of Tracking/Modeling Software</w:t>
      </w:r>
    </w:p>
    <w:p w:rsidR="00317BC3" w:rsidRDefault="00717298" w:rsidP="004E131B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Brad Sumrall and Kevin Daggett demonstrated Arid Lands Hydrological Model</w:t>
      </w:r>
      <w:r w:rsidR="000D5FDD">
        <w:rPr>
          <w:rFonts w:asciiTheme="minorHAnsi" w:hAnsiTheme="minorHAnsi" w:cs="Tahoma"/>
          <w:sz w:val="21"/>
          <w:szCs w:val="21"/>
        </w:rPr>
        <w:t>ing</w:t>
      </w:r>
      <w:r>
        <w:rPr>
          <w:rFonts w:asciiTheme="minorHAnsi" w:hAnsiTheme="minorHAnsi" w:cs="Tahoma"/>
          <w:sz w:val="21"/>
          <w:szCs w:val="21"/>
        </w:rPr>
        <w:t xml:space="preserve"> (AHYMO) software</w:t>
      </w:r>
      <w:r w:rsidR="00ED1A23">
        <w:rPr>
          <w:rFonts w:asciiTheme="minorHAnsi" w:hAnsiTheme="minorHAnsi" w:cs="Tahoma"/>
          <w:sz w:val="21"/>
          <w:szCs w:val="21"/>
        </w:rPr>
        <w:t>, and offered specific examples of its application. This or another modeling program can support</w:t>
      </w:r>
      <w:r w:rsidR="005E1C3C">
        <w:rPr>
          <w:rFonts w:asciiTheme="minorHAnsi" w:hAnsiTheme="minorHAnsi" w:cs="Tahoma"/>
          <w:sz w:val="21"/>
          <w:szCs w:val="21"/>
        </w:rPr>
        <w:t xml:space="preserve"> development of a framework to </w:t>
      </w:r>
      <w:r w:rsidR="000D5FDD">
        <w:rPr>
          <w:rFonts w:asciiTheme="minorHAnsi" w:hAnsiTheme="minorHAnsi" w:cs="Tahoma"/>
          <w:sz w:val="21"/>
          <w:szCs w:val="21"/>
        </w:rPr>
        <w:t>fair</w:t>
      </w:r>
      <w:r w:rsidR="005E1C3C">
        <w:rPr>
          <w:rFonts w:asciiTheme="minorHAnsi" w:hAnsiTheme="minorHAnsi" w:cs="Tahoma"/>
          <w:sz w:val="21"/>
          <w:szCs w:val="21"/>
        </w:rPr>
        <w:t>ly</w:t>
      </w:r>
      <w:r w:rsidR="000D5FDD">
        <w:rPr>
          <w:rFonts w:asciiTheme="minorHAnsi" w:hAnsiTheme="minorHAnsi" w:cs="Tahoma"/>
          <w:sz w:val="21"/>
          <w:szCs w:val="21"/>
        </w:rPr>
        <w:t xml:space="preserve"> allocat</w:t>
      </w:r>
      <w:r w:rsidR="005E1C3C">
        <w:rPr>
          <w:rFonts w:asciiTheme="minorHAnsi" w:hAnsiTheme="minorHAnsi" w:cs="Tahoma"/>
          <w:sz w:val="21"/>
          <w:szCs w:val="21"/>
        </w:rPr>
        <w:t>e</w:t>
      </w:r>
      <w:r w:rsidR="00ED1A23">
        <w:rPr>
          <w:rFonts w:asciiTheme="minorHAnsi" w:hAnsiTheme="minorHAnsi" w:cs="Tahoma"/>
          <w:sz w:val="21"/>
          <w:szCs w:val="21"/>
        </w:rPr>
        <w:t xml:space="preserve"> cost</w:t>
      </w:r>
      <w:r w:rsidR="005E1C3C">
        <w:rPr>
          <w:rFonts w:asciiTheme="minorHAnsi" w:hAnsiTheme="minorHAnsi" w:cs="Tahoma"/>
          <w:sz w:val="21"/>
          <w:szCs w:val="21"/>
        </w:rPr>
        <w:t>s</w:t>
      </w:r>
      <w:r w:rsidR="00ED1A23">
        <w:rPr>
          <w:rFonts w:asciiTheme="minorHAnsi" w:hAnsiTheme="minorHAnsi" w:cs="Tahoma"/>
          <w:sz w:val="21"/>
          <w:szCs w:val="21"/>
        </w:rPr>
        <w:t xml:space="preserve"> of </w:t>
      </w:r>
      <w:r w:rsidR="000D5FDD">
        <w:rPr>
          <w:rFonts w:asciiTheme="minorHAnsi" w:hAnsiTheme="minorHAnsi" w:cs="Tahoma"/>
          <w:sz w:val="21"/>
          <w:szCs w:val="21"/>
        </w:rPr>
        <w:t xml:space="preserve">Stormwater Management Plan (SWMP) </w:t>
      </w:r>
      <w:r w:rsidR="00ED1A23">
        <w:rPr>
          <w:rFonts w:asciiTheme="minorHAnsi" w:hAnsiTheme="minorHAnsi" w:cs="Tahoma"/>
          <w:sz w:val="21"/>
          <w:szCs w:val="21"/>
        </w:rPr>
        <w:t xml:space="preserve">implementation activities </w:t>
      </w:r>
      <w:r w:rsidR="000D5FDD">
        <w:rPr>
          <w:rFonts w:asciiTheme="minorHAnsi" w:hAnsiTheme="minorHAnsi" w:cs="Tahoma"/>
          <w:sz w:val="21"/>
          <w:szCs w:val="21"/>
        </w:rPr>
        <w:t xml:space="preserve">under the proposed permit.  </w:t>
      </w:r>
    </w:p>
    <w:p w:rsidR="00970FF5" w:rsidRPr="004E131B" w:rsidRDefault="00ED1A23" w:rsidP="00967A58">
      <w:pPr>
        <w:pStyle w:val="ecxmsonormal"/>
        <w:numPr>
          <w:ilvl w:val="1"/>
          <w:numId w:val="4"/>
        </w:numPr>
        <w:shd w:val="clear" w:color="auto" w:fill="FFFFFF"/>
        <w:spacing w:after="24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From the questions and discussion, the program’s level of specificity, flexibility and usefulness seemed to raise the group’s confidence that it can be used to develop a fair cost-sharing framework.</w:t>
      </w:r>
    </w:p>
    <w:p w:rsidR="00970FF5" w:rsidRPr="00970FF5" w:rsidRDefault="00970FF5" w:rsidP="00A52832">
      <w:pPr>
        <w:pStyle w:val="ecxmsonormal"/>
        <w:numPr>
          <w:ilvl w:val="0"/>
          <w:numId w:val="4"/>
        </w:numPr>
        <w:shd w:val="clear" w:color="auto" w:fill="FFFFFF"/>
        <w:spacing w:after="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Re: </w:t>
      </w:r>
      <w:r w:rsidR="005E1C3C">
        <w:rPr>
          <w:rFonts w:asciiTheme="minorHAnsi" w:hAnsiTheme="minorHAnsi" w:cs="Tahoma"/>
          <w:b/>
          <w:sz w:val="21"/>
          <w:szCs w:val="21"/>
        </w:rPr>
        <w:t>Comparative Review of SWMP Implementation Approaches</w:t>
      </w:r>
    </w:p>
    <w:p w:rsidR="00B469CC" w:rsidRDefault="005E1C3C" w:rsidP="007E54BE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Roland </w:t>
      </w:r>
      <w:r w:rsidR="002532F6">
        <w:rPr>
          <w:rFonts w:asciiTheme="minorHAnsi" w:hAnsiTheme="minorHAnsi" w:cs="Tahoma"/>
          <w:sz w:val="21"/>
          <w:szCs w:val="21"/>
        </w:rPr>
        <w:t>Penttila</w:t>
      </w:r>
      <w:r>
        <w:rPr>
          <w:rFonts w:asciiTheme="minorHAnsi" w:hAnsiTheme="minorHAnsi" w:cs="Tahoma"/>
          <w:sz w:val="21"/>
          <w:szCs w:val="21"/>
        </w:rPr>
        <w:t xml:space="preserve"> referred the group to a memo prepared by CH2MHill for the City of Albuquerque comparing ways different cities have implemented their respective SWMPs. (Please see the email attachment accompanying these notes.)</w:t>
      </w:r>
    </w:p>
    <w:p w:rsidR="005E1C3C" w:rsidRDefault="005E1C3C" w:rsidP="007E54BE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Roland noted that other cities have taken a variety of approaches, and that there is no best answer that automatically applies to this area.</w:t>
      </w:r>
    </w:p>
    <w:p w:rsidR="005E1C3C" w:rsidRDefault="005E1C3C" w:rsidP="00967A58">
      <w:pPr>
        <w:pStyle w:val="ecxmsonormal"/>
        <w:numPr>
          <w:ilvl w:val="1"/>
          <w:numId w:val="4"/>
        </w:numPr>
        <w:shd w:val="clear" w:color="auto" w:fill="FFFFFF"/>
        <w:spacing w:after="24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The memo does highlight themes of successful approaches. These primarily relate to assuring that a broad range of stakeholders are involved; developing a master plan with estimates of capital and operational costs; and designing a rate structure that is locally appropriate.</w:t>
      </w:r>
    </w:p>
    <w:p w:rsidR="008A60A3" w:rsidRPr="008A60A3" w:rsidRDefault="008A60A3" w:rsidP="00A57453">
      <w:pPr>
        <w:pStyle w:val="ecxmsonormal"/>
        <w:numPr>
          <w:ilvl w:val="0"/>
          <w:numId w:val="4"/>
        </w:numPr>
        <w:shd w:val="clear" w:color="auto" w:fill="FFFFFF"/>
        <w:spacing w:after="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Re: </w:t>
      </w:r>
      <w:r w:rsidR="005E1C3C">
        <w:rPr>
          <w:rFonts w:asciiTheme="minorHAnsi" w:hAnsiTheme="minorHAnsi" w:cs="Tahoma"/>
          <w:b/>
          <w:sz w:val="21"/>
          <w:szCs w:val="21"/>
        </w:rPr>
        <w:t>EPA Updates</w:t>
      </w:r>
    </w:p>
    <w:p w:rsidR="005E1C3C" w:rsidRDefault="005E1C3C" w:rsidP="00A52832">
      <w:pPr>
        <w:pStyle w:val="ecxmsonormal"/>
        <w:numPr>
          <w:ilvl w:val="1"/>
          <w:numId w:val="4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Nelly Smith provided the group with a review and updates. These included:</w:t>
      </w:r>
    </w:p>
    <w:p w:rsidR="005E1C3C" w:rsidRDefault="005E1C3C" w:rsidP="005E1C3C">
      <w:pPr>
        <w:pStyle w:val="ecxmsonormal"/>
        <w:numPr>
          <w:ilvl w:val="2"/>
          <w:numId w:val="4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A review of the minimum measures required in each jurisdiction’s SWMP.</w:t>
      </w:r>
    </w:p>
    <w:p w:rsidR="00AB4625" w:rsidRDefault="00AB4625" w:rsidP="005E1C3C">
      <w:pPr>
        <w:pStyle w:val="ecxmsonormal"/>
        <w:numPr>
          <w:ilvl w:val="2"/>
          <w:numId w:val="4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Support for the “menu” approach that the group is recommending. This will consist of “basic” activities under each measure that all jurisdictions, individually or jointly, will conduct; and “additional” activities under each measure that individual jurisdictions will conduct based on their population, level of impervious surface, etc.</w:t>
      </w:r>
    </w:p>
    <w:p w:rsidR="00AB4625" w:rsidRDefault="00AB4625" w:rsidP="005E1C3C">
      <w:pPr>
        <w:pStyle w:val="ecxmsonormal"/>
        <w:numPr>
          <w:ilvl w:val="2"/>
          <w:numId w:val="4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Introduction of an addition to the framework, where jurisdictions would be placed into “sectors” to determine the level of “additional” activities would be required of them.</w:t>
      </w:r>
    </w:p>
    <w:p w:rsidR="00A17BF5" w:rsidRDefault="00AB4625" w:rsidP="00AB4625">
      <w:pPr>
        <w:pStyle w:val="ecxmsonormal"/>
        <w:numPr>
          <w:ilvl w:val="2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Encouragement of all permittees to introduce the permit </w:t>
      </w:r>
      <w:r w:rsidR="002532F6">
        <w:rPr>
          <w:rFonts w:asciiTheme="minorHAnsi" w:hAnsiTheme="minorHAnsi" w:cs="Tahoma"/>
          <w:sz w:val="21"/>
          <w:szCs w:val="21"/>
        </w:rPr>
        <w:t>framework to</w:t>
      </w:r>
      <w:r>
        <w:rPr>
          <w:rFonts w:asciiTheme="minorHAnsi" w:hAnsiTheme="minorHAnsi" w:cs="Tahoma"/>
          <w:sz w:val="21"/>
          <w:szCs w:val="21"/>
        </w:rPr>
        <w:t xml:space="preserve"> their respective governing bodies.</w:t>
      </w:r>
      <w:r w:rsidR="003B6F5D">
        <w:rPr>
          <w:rFonts w:asciiTheme="minorHAnsi" w:hAnsiTheme="minorHAnsi" w:cs="Tahoma"/>
          <w:sz w:val="21"/>
          <w:szCs w:val="21"/>
        </w:rPr>
        <w:t xml:space="preserve"> </w:t>
      </w:r>
    </w:p>
    <w:p w:rsidR="00A57453" w:rsidRPr="00A57453" w:rsidRDefault="00AB4625" w:rsidP="00A57453">
      <w:pPr>
        <w:pStyle w:val="ecxmsonormal"/>
        <w:numPr>
          <w:ilvl w:val="1"/>
          <w:numId w:val="4"/>
        </w:numPr>
        <w:shd w:val="clear" w:color="auto" w:fill="FFFFFF"/>
        <w:spacing w:after="360"/>
        <w:rPr>
          <w:rFonts w:asciiTheme="minorHAnsi" w:hAnsiTheme="minorHAnsi" w:cs="Tahoma"/>
          <w:sz w:val="21"/>
          <w:szCs w:val="21"/>
        </w:rPr>
      </w:pPr>
      <w:r w:rsidRPr="00AB4625">
        <w:rPr>
          <w:rFonts w:asciiTheme="minorHAnsi" w:hAnsiTheme="minorHAnsi" w:cs="Tahoma"/>
          <w:sz w:val="21"/>
          <w:szCs w:val="21"/>
        </w:rPr>
        <w:t>Nelly also reported that s</w:t>
      </w:r>
      <w:r>
        <w:rPr>
          <w:rFonts w:asciiTheme="minorHAnsi" w:hAnsiTheme="minorHAnsi" w:cs="Tahoma"/>
          <w:sz w:val="21"/>
          <w:szCs w:val="21"/>
        </w:rPr>
        <w:t xml:space="preserve">he will be setting up a webinar, probably in late October, </w:t>
      </w:r>
      <w:r w:rsidRPr="00AB4625">
        <w:rPr>
          <w:rFonts w:asciiTheme="minorHAnsi" w:hAnsiTheme="minorHAnsi" w:cs="Tahoma"/>
          <w:sz w:val="21"/>
          <w:szCs w:val="21"/>
        </w:rPr>
        <w:t>to assist the pilot permittees to get acquainted and exchange information about their respective planning processes.</w:t>
      </w:r>
      <w:r>
        <w:rPr>
          <w:rFonts w:asciiTheme="minorHAnsi" w:hAnsiTheme="minorHAnsi" w:cs="Tahoma"/>
          <w:sz w:val="21"/>
          <w:szCs w:val="21"/>
        </w:rPr>
        <w:t xml:space="preserve"> More information will be forthcoming regarding the date and the agenda.</w:t>
      </w:r>
      <w:r w:rsidR="00A57453" w:rsidRPr="00A57453">
        <w:rPr>
          <w:rFonts w:asciiTheme="minorHAnsi" w:hAnsiTheme="minorHAnsi" w:cs="Tahoma"/>
          <w:b/>
          <w:sz w:val="21"/>
          <w:szCs w:val="21"/>
        </w:rPr>
        <w:br w:type="page"/>
      </w:r>
    </w:p>
    <w:p w:rsidR="005D526B" w:rsidRPr="005D526B" w:rsidRDefault="005D526B" w:rsidP="005D526B">
      <w:pPr>
        <w:pStyle w:val="ecxmsonormal"/>
        <w:numPr>
          <w:ilvl w:val="0"/>
          <w:numId w:val="4"/>
        </w:numPr>
        <w:shd w:val="clear" w:color="auto" w:fill="FFFFFF"/>
        <w:spacing w:after="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lastRenderedPageBreak/>
        <w:t xml:space="preserve">Re: </w:t>
      </w:r>
      <w:r w:rsidR="0065071C">
        <w:rPr>
          <w:rFonts w:asciiTheme="minorHAnsi" w:hAnsiTheme="minorHAnsi" w:cs="Tahoma"/>
          <w:b/>
          <w:sz w:val="21"/>
          <w:szCs w:val="21"/>
        </w:rPr>
        <w:t xml:space="preserve">Draft Cost-Sharing </w:t>
      </w:r>
      <w:r>
        <w:rPr>
          <w:rFonts w:asciiTheme="minorHAnsi" w:hAnsiTheme="minorHAnsi" w:cs="Tahoma"/>
          <w:b/>
          <w:sz w:val="21"/>
          <w:szCs w:val="21"/>
        </w:rPr>
        <w:t>Framework</w:t>
      </w:r>
      <w:r w:rsidR="008A0CB6">
        <w:rPr>
          <w:rFonts w:asciiTheme="minorHAnsi" w:hAnsiTheme="minorHAnsi" w:cs="Tahoma"/>
          <w:b/>
          <w:sz w:val="21"/>
          <w:szCs w:val="21"/>
        </w:rPr>
        <w:t>—Introduction of Sector Concept</w:t>
      </w:r>
    </w:p>
    <w:p w:rsidR="0009107F" w:rsidRDefault="0009107F" w:rsidP="00DA392E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Permittees and prospective permittees have </w:t>
      </w:r>
      <w:r w:rsidR="00DA392E">
        <w:rPr>
          <w:rFonts w:asciiTheme="minorHAnsi" w:hAnsiTheme="minorHAnsi" w:cs="Tahoma"/>
          <w:sz w:val="21"/>
          <w:szCs w:val="21"/>
        </w:rPr>
        <w:t>shown</w:t>
      </w:r>
      <w:r>
        <w:rPr>
          <w:rFonts w:asciiTheme="minorHAnsi" w:hAnsiTheme="minorHAnsi" w:cs="Tahoma"/>
          <w:sz w:val="21"/>
          <w:szCs w:val="21"/>
        </w:rPr>
        <w:t xml:space="preserve"> growing agreement for the “menu” concept of allocating “basic” and “additional” activities to individual jurisdictions and SWMPs.  The “menu” concept seems to balance the benefits of a watershed-based permit (cost-effectiveness of joint activities, addressing the geo-hydrology of the area comprehensively) with the need to acknowledge local differences (administrative capacity, technical experience/capacity, contribution to the pollutant load). </w:t>
      </w:r>
      <w:r w:rsidR="00DA392E">
        <w:rPr>
          <w:rFonts w:asciiTheme="minorHAnsi" w:hAnsiTheme="minorHAnsi" w:cs="Tahoma"/>
          <w:sz w:val="21"/>
          <w:szCs w:val="21"/>
        </w:rPr>
        <w:t>To move this conceptual framework to the next level, a way to determine levels of “additional” activities is needed. This is leading to developing “</w:t>
      </w:r>
      <w:r w:rsidR="00A57453">
        <w:rPr>
          <w:rFonts w:asciiTheme="minorHAnsi" w:hAnsiTheme="minorHAnsi" w:cs="Tahoma"/>
          <w:sz w:val="21"/>
          <w:szCs w:val="21"/>
        </w:rPr>
        <w:t xml:space="preserve">permittee </w:t>
      </w:r>
      <w:r w:rsidR="00DA392E">
        <w:rPr>
          <w:rFonts w:asciiTheme="minorHAnsi" w:hAnsiTheme="minorHAnsi" w:cs="Tahoma"/>
          <w:sz w:val="21"/>
          <w:szCs w:val="21"/>
        </w:rPr>
        <w:t>sectors” to which a jurisdiction would be placed, and which Nelly Smith referred to in her report (</w:t>
      </w:r>
      <w:r>
        <w:rPr>
          <w:rFonts w:asciiTheme="minorHAnsi" w:hAnsiTheme="minorHAnsi" w:cs="Tahoma"/>
          <w:sz w:val="21"/>
          <w:szCs w:val="21"/>
        </w:rPr>
        <w:t>noted in 3(a)(iii) above</w:t>
      </w:r>
      <w:r w:rsidR="00DA392E">
        <w:rPr>
          <w:rFonts w:asciiTheme="minorHAnsi" w:hAnsiTheme="minorHAnsi" w:cs="Tahoma"/>
          <w:sz w:val="21"/>
          <w:szCs w:val="21"/>
        </w:rPr>
        <w:t>).</w:t>
      </w:r>
      <w:r>
        <w:rPr>
          <w:rFonts w:asciiTheme="minorHAnsi" w:hAnsiTheme="minorHAnsi" w:cs="Tahoma"/>
          <w:sz w:val="21"/>
          <w:szCs w:val="21"/>
        </w:rPr>
        <w:t xml:space="preserve"> </w:t>
      </w:r>
    </w:p>
    <w:p w:rsidR="00A57453" w:rsidRDefault="0065071C" w:rsidP="00A57453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Steve Glass presented a d</w:t>
      </w:r>
      <w:r w:rsidR="00210093">
        <w:rPr>
          <w:rFonts w:asciiTheme="minorHAnsi" w:hAnsiTheme="minorHAnsi" w:cs="Tahoma"/>
          <w:sz w:val="21"/>
          <w:szCs w:val="21"/>
        </w:rPr>
        <w:t xml:space="preserve">raft </w:t>
      </w:r>
      <w:r>
        <w:rPr>
          <w:rFonts w:asciiTheme="minorHAnsi" w:hAnsiTheme="minorHAnsi" w:cs="Tahoma"/>
          <w:sz w:val="21"/>
          <w:szCs w:val="21"/>
        </w:rPr>
        <w:t>set of alternative</w:t>
      </w:r>
      <w:r w:rsidR="00DA392E">
        <w:rPr>
          <w:rFonts w:asciiTheme="minorHAnsi" w:hAnsiTheme="minorHAnsi" w:cs="Tahoma"/>
          <w:sz w:val="21"/>
          <w:szCs w:val="21"/>
        </w:rPr>
        <w:t>s</w:t>
      </w:r>
      <w:r w:rsidR="0009107F">
        <w:rPr>
          <w:rFonts w:asciiTheme="minorHAnsi" w:hAnsiTheme="minorHAnsi" w:cs="Tahoma"/>
          <w:sz w:val="21"/>
          <w:szCs w:val="21"/>
        </w:rPr>
        <w:t xml:space="preserve"> for determining which “</w:t>
      </w:r>
      <w:r w:rsidR="00A57453">
        <w:rPr>
          <w:rFonts w:asciiTheme="minorHAnsi" w:hAnsiTheme="minorHAnsi" w:cs="Tahoma"/>
          <w:sz w:val="21"/>
          <w:szCs w:val="21"/>
        </w:rPr>
        <w:t xml:space="preserve">permittee </w:t>
      </w:r>
      <w:r w:rsidR="0009107F">
        <w:rPr>
          <w:rFonts w:asciiTheme="minorHAnsi" w:hAnsiTheme="minorHAnsi" w:cs="Tahoma"/>
          <w:sz w:val="21"/>
          <w:szCs w:val="21"/>
        </w:rPr>
        <w:t xml:space="preserve">sector” a jurisdiction would fall into. </w:t>
      </w:r>
      <w:r w:rsidR="00A57453">
        <w:rPr>
          <w:rFonts w:asciiTheme="minorHAnsi" w:hAnsiTheme="minorHAnsi" w:cs="Tahoma"/>
          <w:sz w:val="21"/>
          <w:szCs w:val="21"/>
        </w:rPr>
        <w:t>(Please see the appendix following the participant list below.)</w:t>
      </w:r>
    </w:p>
    <w:p w:rsidR="0065071C" w:rsidRDefault="00A57453" w:rsidP="002B1A25">
      <w:pPr>
        <w:pStyle w:val="ecxmsonormal"/>
        <w:numPr>
          <w:ilvl w:val="1"/>
          <w:numId w:val="4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The discussion revealed clear support for the concept and the outlines of the initial draft, although it was recognized that more work was needed. Several participants volunte</w:t>
      </w:r>
      <w:r w:rsidR="0033133F">
        <w:rPr>
          <w:rFonts w:asciiTheme="minorHAnsi" w:hAnsiTheme="minorHAnsi" w:cs="Tahoma"/>
          <w:sz w:val="21"/>
          <w:szCs w:val="21"/>
        </w:rPr>
        <w:t>ered to develop a second draft of</w:t>
      </w:r>
      <w:r>
        <w:rPr>
          <w:rFonts w:asciiTheme="minorHAnsi" w:hAnsiTheme="minorHAnsi" w:cs="Tahoma"/>
          <w:sz w:val="21"/>
          <w:szCs w:val="21"/>
        </w:rPr>
        <w:t xml:space="preserve"> the sector framework: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Sarah Holcombe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Steve Glass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Kelly Collins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Vern Hershberger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Trevor Alsop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Doug Dailey</w:t>
      </w:r>
    </w:p>
    <w:p w:rsidR="00A57453" w:rsidRDefault="00A57453" w:rsidP="0033133F">
      <w:pPr>
        <w:pStyle w:val="ecxmsonormal"/>
        <w:numPr>
          <w:ilvl w:val="2"/>
          <w:numId w:val="17"/>
        </w:numPr>
        <w:shd w:val="clear" w:color="auto" w:fill="FFFFFF"/>
        <w:spacing w:after="3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Tim Karpoff</w:t>
      </w:r>
    </w:p>
    <w:p w:rsidR="002B1A25" w:rsidRPr="002B1A25" w:rsidRDefault="007E54BE" w:rsidP="002B1A25">
      <w:pPr>
        <w:pStyle w:val="ecxmsonormal"/>
        <w:numPr>
          <w:ilvl w:val="0"/>
          <w:numId w:val="4"/>
        </w:numPr>
        <w:shd w:val="clear" w:color="auto" w:fill="FFFFFF"/>
        <w:spacing w:after="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>Next Meeting</w:t>
      </w:r>
    </w:p>
    <w:p w:rsidR="007E54BE" w:rsidRDefault="002B1A25" w:rsidP="002B1A25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The </w:t>
      </w:r>
      <w:r w:rsidR="007E54BE">
        <w:rPr>
          <w:rFonts w:asciiTheme="minorHAnsi" w:hAnsiTheme="minorHAnsi" w:cs="Tahoma"/>
          <w:sz w:val="21"/>
          <w:szCs w:val="21"/>
        </w:rPr>
        <w:t xml:space="preserve">next meeting was scheduled for </w:t>
      </w:r>
      <w:r w:rsidR="00A57453">
        <w:rPr>
          <w:rFonts w:asciiTheme="minorHAnsi" w:hAnsiTheme="minorHAnsi" w:cs="Tahoma"/>
          <w:sz w:val="21"/>
          <w:szCs w:val="21"/>
        </w:rPr>
        <w:t>Wednesday</w:t>
      </w:r>
      <w:r w:rsidR="007E54BE">
        <w:rPr>
          <w:rFonts w:asciiTheme="minorHAnsi" w:hAnsiTheme="minorHAnsi" w:cs="Tahoma"/>
          <w:sz w:val="21"/>
          <w:szCs w:val="21"/>
        </w:rPr>
        <w:t xml:space="preserve">, </w:t>
      </w:r>
      <w:r w:rsidR="00A57453">
        <w:rPr>
          <w:rFonts w:asciiTheme="minorHAnsi" w:hAnsiTheme="minorHAnsi" w:cs="Tahoma"/>
          <w:sz w:val="21"/>
          <w:szCs w:val="21"/>
        </w:rPr>
        <w:t>November 16</w:t>
      </w:r>
      <w:r w:rsidR="007E54BE">
        <w:rPr>
          <w:rFonts w:asciiTheme="minorHAnsi" w:hAnsiTheme="minorHAnsi" w:cs="Tahoma"/>
          <w:sz w:val="21"/>
          <w:szCs w:val="21"/>
        </w:rPr>
        <w:t xml:space="preserve">, 2011 from </w:t>
      </w:r>
      <w:r w:rsidR="0033133F">
        <w:rPr>
          <w:rFonts w:asciiTheme="minorHAnsi" w:hAnsiTheme="minorHAnsi" w:cs="Tahoma"/>
          <w:sz w:val="21"/>
          <w:szCs w:val="21"/>
        </w:rPr>
        <w:t>8:30-noon</w:t>
      </w:r>
      <w:r w:rsidR="007E54BE">
        <w:rPr>
          <w:rFonts w:asciiTheme="minorHAnsi" w:hAnsiTheme="minorHAnsi" w:cs="Tahoma"/>
          <w:sz w:val="21"/>
          <w:szCs w:val="21"/>
        </w:rPr>
        <w:t>.</w:t>
      </w:r>
    </w:p>
    <w:p w:rsidR="007E54BE" w:rsidRPr="00EE12C6" w:rsidRDefault="0033133F" w:rsidP="0033133F">
      <w:pPr>
        <w:pStyle w:val="ecxmsonormal"/>
        <w:numPr>
          <w:ilvl w:val="1"/>
          <w:numId w:val="4"/>
        </w:numPr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  <w:r w:rsidRPr="0033133F">
        <w:rPr>
          <w:rFonts w:asciiTheme="minorHAnsi" w:hAnsiTheme="minorHAnsi" w:cs="Tahoma"/>
          <w:sz w:val="21"/>
          <w:szCs w:val="21"/>
        </w:rPr>
        <w:t>A</w:t>
      </w:r>
      <w:r w:rsidR="00EE12C6" w:rsidRPr="0033133F">
        <w:rPr>
          <w:rFonts w:asciiTheme="minorHAnsi" w:hAnsiTheme="minorHAnsi" w:cs="Tahoma"/>
          <w:sz w:val="21"/>
          <w:szCs w:val="21"/>
        </w:rPr>
        <w:t>genda</w:t>
      </w:r>
      <w:r w:rsidRPr="0033133F">
        <w:rPr>
          <w:rFonts w:asciiTheme="minorHAnsi" w:hAnsiTheme="minorHAnsi" w:cs="Tahoma"/>
          <w:sz w:val="21"/>
          <w:szCs w:val="21"/>
        </w:rPr>
        <w:t xml:space="preserve"> topics will center on refining the </w:t>
      </w:r>
      <w:r>
        <w:rPr>
          <w:rFonts w:asciiTheme="minorHAnsi" w:hAnsiTheme="minorHAnsi" w:cs="Tahoma"/>
          <w:sz w:val="21"/>
          <w:szCs w:val="21"/>
        </w:rPr>
        <w:t>“</w:t>
      </w:r>
      <w:r w:rsidRPr="0033133F">
        <w:rPr>
          <w:rFonts w:asciiTheme="minorHAnsi" w:hAnsiTheme="minorHAnsi" w:cs="Tahoma"/>
          <w:sz w:val="21"/>
          <w:szCs w:val="21"/>
        </w:rPr>
        <w:t>menu</w:t>
      </w:r>
      <w:r>
        <w:rPr>
          <w:rFonts w:asciiTheme="minorHAnsi" w:hAnsiTheme="minorHAnsi" w:cs="Tahoma"/>
          <w:sz w:val="21"/>
          <w:szCs w:val="21"/>
        </w:rPr>
        <w:t>”</w:t>
      </w:r>
      <w:r w:rsidRPr="0033133F">
        <w:rPr>
          <w:rFonts w:asciiTheme="minorHAnsi" w:hAnsiTheme="minorHAnsi" w:cs="Tahoma"/>
          <w:sz w:val="21"/>
          <w:szCs w:val="21"/>
        </w:rPr>
        <w:t xml:space="preserve"> and </w:t>
      </w:r>
      <w:r>
        <w:rPr>
          <w:rFonts w:asciiTheme="minorHAnsi" w:hAnsiTheme="minorHAnsi" w:cs="Tahoma"/>
          <w:sz w:val="21"/>
          <w:szCs w:val="21"/>
        </w:rPr>
        <w:t>“</w:t>
      </w:r>
      <w:r w:rsidRPr="0033133F">
        <w:rPr>
          <w:rFonts w:asciiTheme="minorHAnsi" w:hAnsiTheme="minorHAnsi" w:cs="Tahoma"/>
          <w:sz w:val="21"/>
          <w:szCs w:val="21"/>
        </w:rPr>
        <w:t>sector</w:t>
      </w:r>
      <w:r>
        <w:rPr>
          <w:rFonts w:asciiTheme="minorHAnsi" w:hAnsiTheme="minorHAnsi" w:cs="Tahoma"/>
          <w:sz w:val="21"/>
          <w:szCs w:val="21"/>
        </w:rPr>
        <w:t>”</w:t>
      </w:r>
      <w:r w:rsidRPr="0033133F">
        <w:rPr>
          <w:rFonts w:asciiTheme="minorHAnsi" w:hAnsiTheme="minorHAnsi" w:cs="Tahoma"/>
          <w:sz w:val="21"/>
          <w:szCs w:val="21"/>
        </w:rPr>
        <w:t xml:space="preserve"> frameworks and reflecting on the webinar.</w:t>
      </w:r>
      <w:r w:rsidR="007E54BE" w:rsidRPr="0033133F">
        <w:rPr>
          <w:rFonts w:asciiTheme="minorHAnsi" w:hAnsiTheme="minorHAnsi" w:cs="Tahoma"/>
          <w:sz w:val="21"/>
          <w:szCs w:val="21"/>
        </w:rPr>
        <w:t xml:space="preserve"> </w:t>
      </w:r>
    </w:p>
    <w:p w:rsidR="00DA392E" w:rsidRDefault="00DA392E">
      <w:pPr>
        <w:rPr>
          <w:b/>
          <w:sz w:val="28"/>
          <w:szCs w:val="28"/>
        </w:rPr>
      </w:pPr>
    </w:p>
    <w:p w:rsidR="007E54BE" w:rsidRDefault="007E54BE">
      <w:pPr>
        <w:rPr>
          <w:b/>
          <w:sz w:val="28"/>
          <w:szCs w:val="28"/>
        </w:rPr>
      </w:pPr>
    </w:p>
    <w:p w:rsidR="00DA392E" w:rsidRDefault="00DA392E" w:rsidP="004C4E5C">
      <w:pPr>
        <w:spacing w:after="60"/>
        <w:jc w:val="center"/>
        <w:rPr>
          <w:b/>
          <w:sz w:val="28"/>
          <w:szCs w:val="28"/>
        </w:rPr>
        <w:sectPr w:rsidR="00DA392E" w:rsidSect="002B1A25">
          <w:footerReference w:type="default" r:id="rId8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4C4E5C" w:rsidRPr="0051172A" w:rsidRDefault="004C4E5C" w:rsidP="004C4E5C">
      <w:pPr>
        <w:spacing w:after="60"/>
        <w:jc w:val="center"/>
        <w:rPr>
          <w:b/>
          <w:sz w:val="28"/>
          <w:szCs w:val="28"/>
        </w:rPr>
      </w:pPr>
      <w:r w:rsidRPr="0051172A">
        <w:rPr>
          <w:b/>
          <w:sz w:val="28"/>
          <w:szCs w:val="28"/>
        </w:rPr>
        <w:lastRenderedPageBreak/>
        <w:t xml:space="preserve">Watershed-Based MS4 Permit Stakeholder Meeting </w:t>
      </w:r>
      <w:r w:rsidRPr="0051172A">
        <w:rPr>
          <w:rFonts w:ascii="Times New Roman" w:hAnsi="Times New Roman" w:cs="Times New Roman"/>
          <w:b/>
          <w:sz w:val="28"/>
          <w:szCs w:val="28"/>
        </w:rPr>
        <w:t>●</w:t>
      </w:r>
      <w:r w:rsidRPr="0051172A">
        <w:rPr>
          <w:b/>
          <w:sz w:val="28"/>
          <w:szCs w:val="28"/>
        </w:rPr>
        <w:t xml:space="preserve"> </w:t>
      </w:r>
      <w:r w:rsidR="00A37168">
        <w:rPr>
          <w:b/>
          <w:sz w:val="28"/>
          <w:szCs w:val="28"/>
        </w:rPr>
        <w:t>September 16,</w:t>
      </w:r>
      <w:r w:rsidRPr="0051172A">
        <w:rPr>
          <w:b/>
          <w:sz w:val="28"/>
          <w:szCs w:val="28"/>
        </w:rPr>
        <w:t xml:space="preserve"> 2011</w:t>
      </w:r>
    </w:p>
    <w:p w:rsidR="004C4E5C" w:rsidRPr="0051172A" w:rsidRDefault="004C4E5C" w:rsidP="00A57453">
      <w:pPr>
        <w:spacing w:after="100"/>
        <w:jc w:val="center"/>
        <w:rPr>
          <w:b/>
          <w:sz w:val="28"/>
          <w:szCs w:val="28"/>
        </w:rPr>
      </w:pPr>
      <w:r w:rsidRPr="0051172A">
        <w:rPr>
          <w:b/>
          <w:sz w:val="28"/>
          <w:szCs w:val="28"/>
        </w:rPr>
        <w:t>Meeting Participants</w:t>
      </w:r>
    </w:p>
    <w:tbl>
      <w:tblPr>
        <w:tblW w:w="0" w:type="auto"/>
        <w:tblInd w:w="198" w:type="dxa"/>
        <w:tblLayout w:type="fixed"/>
        <w:tblLook w:val="0000"/>
      </w:tblPr>
      <w:tblGrid>
        <w:gridCol w:w="2160"/>
        <w:gridCol w:w="3420"/>
        <w:gridCol w:w="3690"/>
      </w:tblGrid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60" w:line="252" w:lineRule="auto"/>
              <w:jc w:val="center"/>
              <w:rPr>
                <w:b/>
                <w:u w:val="single"/>
              </w:rPr>
            </w:pPr>
            <w:r w:rsidRPr="0051172A">
              <w:rPr>
                <w:b/>
                <w:u w:val="single"/>
              </w:rPr>
              <w:t>Name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60" w:line="252" w:lineRule="auto"/>
              <w:jc w:val="center"/>
              <w:rPr>
                <w:b/>
                <w:u w:val="single"/>
              </w:rPr>
            </w:pPr>
            <w:r w:rsidRPr="0051172A">
              <w:rPr>
                <w:b/>
                <w:u w:val="single"/>
              </w:rPr>
              <w:t>Organization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60" w:line="252" w:lineRule="auto"/>
              <w:jc w:val="center"/>
              <w:rPr>
                <w:b/>
                <w:u w:val="single"/>
              </w:rPr>
            </w:pPr>
            <w:r w:rsidRPr="0051172A">
              <w:rPr>
                <w:b/>
                <w:u w:val="single"/>
              </w:rPr>
              <w:t>E-mail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Karen Agogino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DOE/SNL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kagogino@doeal.gov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Trevor Alsop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SSCAFCA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talsop@sscafca.com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Scott Bulgrin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Pueblo of Sandia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sbulgrin@sandiapueblo.nsn.us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5B2955" w:rsidP="00A57453">
            <w:pPr>
              <w:spacing w:after="0" w:line="252" w:lineRule="auto"/>
            </w:pPr>
            <w:r>
              <w:t>Michael Castillo</w:t>
            </w:r>
          </w:p>
        </w:tc>
        <w:tc>
          <w:tcPr>
            <w:tcW w:w="3420" w:type="dxa"/>
          </w:tcPr>
          <w:p w:rsidR="004C4E5C" w:rsidRPr="0051172A" w:rsidRDefault="005B2955" w:rsidP="00A57453">
            <w:pPr>
              <w:spacing w:after="0" w:line="252" w:lineRule="auto"/>
            </w:pPr>
            <w:r>
              <w:t>ESCAFCA</w:t>
            </w:r>
          </w:p>
        </w:tc>
        <w:tc>
          <w:tcPr>
            <w:tcW w:w="3690" w:type="dxa"/>
          </w:tcPr>
          <w:p w:rsidR="004C4E5C" w:rsidRPr="0051172A" w:rsidRDefault="005B2955" w:rsidP="00A57453">
            <w:pPr>
              <w:spacing w:after="0" w:line="252" w:lineRule="auto"/>
            </w:pPr>
            <w:r>
              <w:t>mcastillo@escafca.com</w:t>
            </w:r>
          </w:p>
        </w:tc>
      </w:tr>
      <w:tr w:rsidR="00A37168" w:rsidRPr="0051172A" w:rsidTr="003B6F5D">
        <w:tc>
          <w:tcPr>
            <w:tcW w:w="2160" w:type="dxa"/>
          </w:tcPr>
          <w:p w:rsidR="00A37168" w:rsidRDefault="00A37168" w:rsidP="00A57453">
            <w:pPr>
              <w:spacing w:after="0" w:line="252" w:lineRule="auto"/>
            </w:pPr>
            <w:r>
              <w:t>Kris Cedena</w:t>
            </w:r>
          </w:p>
        </w:tc>
        <w:tc>
          <w:tcPr>
            <w:tcW w:w="3420" w:type="dxa"/>
          </w:tcPr>
          <w:p w:rsidR="00A37168" w:rsidRDefault="00A37168" w:rsidP="00A57453">
            <w:pPr>
              <w:spacing w:after="0" w:line="252" w:lineRule="auto"/>
            </w:pPr>
            <w:r>
              <w:t>CoA</w:t>
            </w:r>
          </w:p>
        </w:tc>
        <w:tc>
          <w:tcPr>
            <w:tcW w:w="3690" w:type="dxa"/>
          </w:tcPr>
          <w:p w:rsidR="00A37168" w:rsidRDefault="00A37168" w:rsidP="00A57453">
            <w:pPr>
              <w:spacing w:after="0" w:line="252" w:lineRule="auto"/>
            </w:pPr>
            <w:r>
              <w:t>kcedena@cabq.gov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Kelly Collins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CDM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 xml:space="preserve">collinska@cdm.com 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Kevin Daggett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AMAFCA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kdaggett@amafca.org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Doug Dailey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URS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ddailey@urscorp.com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Default="009D429F" w:rsidP="00A57453">
            <w:pPr>
              <w:spacing w:after="0" w:line="252" w:lineRule="auto"/>
            </w:pPr>
            <w:r>
              <w:t>Rob Demeule</w:t>
            </w:r>
          </w:p>
        </w:tc>
        <w:tc>
          <w:tcPr>
            <w:tcW w:w="3420" w:type="dxa"/>
          </w:tcPr>
          <w:p w:rsidR="009D429F" w:rsidRDefault="009D429F" w:rsidP="00A57453">
            <w:pPr>
              <w:spacing w:after="0" w:line="252" w:lineRule="auto"/>
            </w:pPr>
            <w:r>
              <w:t>NMDOT/HZI</w:t>
            </w:r>
          </w:p>
        </w:tc>
        <w:tc>
          <w:tcPr>
            <w:tcW w:w="3690" w:type="dxa"/>
          </w:tcPr>
          <w:p w:rsidR="009D429F" w:rsidRDefault="009D429F" w:rsidP="00A57453">
            <w:pPr>
              <w:spacing w:after="0" w:line="252" w:lineRule="auto"/>
            </w:pPr>
            <w:r>
              <w:t>rbdemeule@huitt-zollars.com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9D429F" w:rsidP="00A57453">
            <w:pPr>
              <w:spacing w:after="0" w:line="252" w:lineRule="auto"/>
            </w:pPr>
            <w:r>
              <w:t>Alendren Etlantus</w:t>
            </w:r>
          </w:p>
        </w:tc>
        <w:tc>
          <w:tcPr>
            <w:tcW w:w="3420" w:type="dxa"/>
          </w:tcPr>
          <w:p w:rsidR="004C4E5C" w:rsidRPr="0051172A" w:rsidRDefault="009D429F" w:rsidP="00A57453">
            <w:pPr>
              <w:spacing w:after="0" w:line="252" w:lineRule="auto"/>
            </w:pPr>
            <w:r>
              <w:t>Bohannan Huston</w:t>
            </w:r>
          </w:p>
        </w:tc>
        <w:tc>
          <w:tcPr>
            <w:tcW w:w="3690" w:type="dxa"/>
          </w:tcPr>
          <w:p w:rsidR="004C4E5C" w:rsidRPr="0051172A" w:rsidRDefault="009D429F" w:rsidP="00A57453">
            <w:pPr>
              <w:spacing w:after="0" w:line="252" w:lineRule="auto"/>
            </w:pPr>
            <w:r>
              <w:t>aetlantus@bhiinc.com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Steve Glass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Ciudad SWCD/ABCWUA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sglass@bernco.gov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David Heber</w:t>
            </w:r>
          </w:p>
        </w:tc>
        <w:tc>
          <w:tcPr>
            <w:tcW w:w="342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OSE</w:t>
            </w:r>
          </w:p>
        </w:tc>
        <w:tc>
          <w:tcPr>
            <w:tcW w:w="3690" w:type="dxa"/>
          </w:tcPr>
          <w:p w:rsidR="009D429F" w:rsidRDefault="009D429F" w:rsidP="00A57453">
            <w:pPr>
              <w:spacing w:after="0" w:line="252" w:lineRule="auto"/>
            </w:pPr>
            <w:r>
              <w:t>david.heber@state.nm.us</w:t>
            </w:r>
          </w:p>
        </w:tc>
      </w:tr>
      <w:tr w:rsidR="005B2955" w:rsidRPr="0051172A" w:rsidTr="003B6F5D">
        <w:tc>
          <w:tcPr>
            <w:tcW w:w="216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Heidi Henderson</w:t>
            </w:r>
          </w:p>
        </w:tc>
        <w:tc>
          <w:tcPr>
            <w:tcW w:w="342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NMED-SWQB</w:t>
            </w:r>
          </w:p>
        </w:tc>
        <w:tc>
          <w:tcPr>
            <w:tcW w:w="3690" w:type="dxa"/>
          </w:tcPr>
          <w:p w:rsidR="005B2955" w:rsidRDefault="005B2955" w:rsidP="00A57453">
            <w:pPr>
              <w:spacing w:after="0" w:line="252" w:lineRule="auto"/>
            </w:pPr>
            <w:r>
              <w:t>heidi.henderson@state.nm.us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Vern Hershberger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UNM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 xml:space="preserve">hershber@unm.edu </w:t>
            </w:r>
          </w:p>
        </w:tc>
      </w:tr>
      <w:tr w:rsidR="005B2955" w:rsidRPr="0051172A" w:rsidTr="003B6F5D">
        <w:tc>
          <w:tcPr>
            <w:tcW w:w="2160" w:type="dxa"/>
          </w:tcPr>
          <w:p w:rsidR="005B2955" w:rsidRDefault="005B2955" w:rsidP="00A57453">
            <w:pPr>
              <w:spacing w:after="0" w:line="252" w:lineRule="auto"/>
            </w:pPr>
            <w:r>
              <w:t>Ira Hight</w:t>
            </w:r>
          </w:p>
        </w:tc>
        <w:tc>
          <w:tcPr>
            <w:tcW w:w="3420" w:type="dxa"/>
          </w:tcPr>
          <w:p w:rsidR="005B2955" w:rsidRDefault="005B2955" w:rsidP="00A57453">
            <w:pPr>
              <w:spacing w:after="0" w:line="252" w:lineRule="auto"/>
            </w:pPr>
            <w:r>
              <w:t>EPA</w:t>
            </w:r>
          </w:p>
        </w:tc>
        <w:tc>
          <w:tcPr>
            <w:tcW w:w="3690" w:type="dxa"/>
          </w:tcPr>
          <w:p w:rsidR="005B2955" w:rsidRDefault="005B2955" w:rsidP="00A57453">
            <w:pPr>
              <w:spacing w:after="0" w:line="252" w:lineRule="auto"/>
            </w:pPr>
            <w:r>
              <w:t>hight.ira@epa.gov</w:t>
            </w:r>
          </w:p>
        </w:tc>
      </w:tr>
      <w:tr w:rsidR="005B2955" w:rsidRPr="0051172A" w:rsidTr="003B6F5D">
        <w:tc>
          <w:tcPr>
            <w:tcW w:w="216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Carolyn Holloway</w:t>
            </w:r>
          </w:p>
        </w:tc>
        <w:tc>
          <w:tcPr>
            <w:tcW w:w="342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NNSA/DOE</w:t>
            </w:r>
          </w:p>
        </w:tc>
        <w:tc>
          <w:tcPr>
            <w:tcW w:w="369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carolyn.holloway@nnsa.doe.gov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Tim Karpoff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Karpoff &amp; Associates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timkarpoff@msn.com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Default="009D429F" w:rsidP="00A57453">
            <w:pPr>
              <w:spacing w:after="0" w:line="252" w:lineRule="auto"/>
            </w:pPr>
            <w:r>
              <w:t>Brent Larsen</w:t>
            </w:r>
          </w:p>
        </w:tc>
        <w:tc>
          <w:tcPr>
            <w:tcW w:w="3420" w:type="dxa"/>
          </w:tcPr>
          <w:p w:rsidR="009D429F" w:rsidRDefault="009D429F" w:rsidP="00A57453">
            <w:pPr>
              <w:spacing w:after="0" w:line="252" w:lineRule="auto"/>
            </w:pPr>
            <w:r>
              <w:t>EPA</w:t>
            </w:r>
          </w:p>
        </w:tc>
        <w:tc>
          <w:tcPr>
            <w:tcW w:w="3690" w:type="dxa"/>
          </w:tcPr>
          <w:p w:rsidR="009D429F" w:rsidRDefault="009D429F" w:rsidP="00A57453">
            <w:pPr>
              <w:spacing w:after="0" w:line="252" w:lineRule="auto"/>
            </w:pPr>
            <w:r>
              <w:t>larsen.brent@epa.gov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Default="009D429F" w:rsidP="00A57453">
            <w:pPr>
              <w:spacing w:after="0" w:line="252" w:lineRule="auto"/>
            </w:pPr>
            <w:r>
              <w:t>Jerry Lovato</w:t>
            </w:r>
          </w:p>
        </w:tc>
        <w:tc>
          <w:tcPr>
            <w:tcW w:w="3420" w:type="dxa"/>
          </w:tcPr>
          <w:p w:rsidR="009D429F" w:rsidRDefault="009D429F" w:rsidP="00A57453">
            <w:pPr>
              <w:spacing w:after="0" w:line="252" w:lineRule="auto"/>
            </w:pPr>
            <w:r>
              <w:t>AMAFCA</w:t>
            </w:r>
          </w:p>
        </w:tc>
        <w:tc>
          <w:tcPr>
            <w:tcW w:w="3690" w:type="dxa"/>
          </w:tcPr>
          <w:p w:rsidR="009D429F" w:rsidRDefault="009D429F" w:rsidP="00A57453">
            <w:pPr>
              <w:spacing w:after="0" w:line="252" w:lineRule="auto"/>
            </w:pPr>
            <w:r>
              <w:t>jlovato@amafca.org</w:t>
            </w:r>
          </w:p>
        </w:tc>
      </w:tr>
      <w:tr w:rsidR="00A37168" w:rsidRPr="0051172A" w:rsidTr="003B6F5D">
        <w:tc>
          <w:tcPr>
            <w:tcW w:w="2160" w:type="dxa"/>
          </w:tcPr>
          <w:p w:rsidR="00A37168" w:rsidRDefault="00A37168" w:rsidP="00A57453">
            <w:pPr>
              <w:spacing w:after="0" w:line="252" w:lineRule="auto"/>
            </w:pPr>
            <w:r>
              <w:t>Melissa Lozoya</w:t>
            </w:r>
          </w:p>
        </w:tc>
        <w:tc>
          <w:tcPr>
            <w:tcW w:w="3420" w:type="dxa"/>
          </w:tcPr>
          <w:p w:rsidR="00A37168" w:rsidRDefault="00A37168" w:rsidP="00A57453">
            <w:pPr>
              <w:spacing w:after="0" w:line="252" w:lineRule="auto"/>
            </w:pPr>
            <w:r>
              <w:t>CoA</w:t>
            </w:r>
          </w:p>
        </w:tc>
        <w:tc>
          <w:tcPr>
            <w:tcW w:w="3690" w:type="dxa"/>
          </w:tcPr>
          <w:p w:rsidR="00A37168" w:rsidRDefault="00A37168" w:rsidP="00A57453">
            <w:pPr>
              <w:spacing w:after="0" w:line="252" w:lineRule="auto"/>
            </w:pPr>
            <w:r>
              <w:t>mlozoya@cabq.gov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Louise Marquez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Village of Tijeras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larquez@villageoftijeras.com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Tim McDonough</w:t>
            </w:r>
          </w:p>
        </w:tc>
        <w:tc>
          <w:tcPr>
            <w:tcW w:w="342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Huitt-Zollars/Sandoval Co.</w:t>
            </w:r>
          </w:p>
        </w:tc>
        <w:tc>
          <w:tcPr>
            <w:tcW w:w="369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tmcdonough@huitt-zollars.com</w:t>
            </w:r>
          </w:p>
        </w:tc>
      </w:tr>
      <w:tr w:rsidR="005B2955" w:rsidRPr="0051172A" w:rsidTr="003B6F5D">
        <w:tc>
          <w:tcPr>
            <w:tcW w:w="2160" w:type="dxa"/>
          </w:tcPr>
          <w:p w:rsidR="005B2955" w:rsidRDefault="005B2955" w:rsidP="00A57453">
            <w:pPr>
              <w:spacing w:after="0" w:line="252" w:lineRule="auto"/>
            </w:pPr>
            <w:r>
              <w:t>Travis Miller</w:t>
            </w:r>
          </w:p>
        </w:tc>
        <w:tc>
          <w:tcPr>
            <w:tcW w:w="3420" w:type="dxa"/>
          </w:tcPr>
          <w:p w:rsidR="005B2955" w:rsidRDefault="005B2955" w:rsidP="00A57453">
            <w:pPr>
              <w:spacing w:after="0" w:line="252" w:lineRule="auto"/>
            </w:pPr>
            <w:r>
              <w:t>UNM</w:t>
            </w:r>
          </w:p>
        </w:tc>
        <w:tc>
          <w:tcPr>
            <w:tcW w:w="3690" w:type="dxa"/>
          </w:tcPr>
          <w:p w:rsidR="005B2955" w:rsidRDefault="005B2955" w:rsidP="00A57453">
            <w:pPr>
              <w:spacing w:after="0" w:line="252" w:lineRule="auto"/>
            </w:pPr>
            <w:r>
              <w:t>travmill@unm.edu</w:t>
            </w:r>
          </w:p>
        </w:tc>
      </w:tr>
      <w:tr w:rsidR="005B2955" w:rsidRPr="0051172A" w:rsidTr="003B6F5D">
        <w:tc>
          <w:tcPr>
            <w:tcW w:w="2160" w:type="dxa"/>
          </w:tcPr>
          <w:p w:rsidR="005B2955" w:rsidRDefault="005B2955" w:rsidP="00A57453">
            <w:pPr>
              <w:spacing w:after="0" w:line="252" w:lineRule="auto"/>
            </w:pPr>
            <w:r>
              <w:t>Stephanie Moore</w:t>
            </w:r>
          </w:p>
        </w:tc>
        <w:tc>
          <w:tcPr>
            <w:tcW w:w="3420" w:type="dxa"/>
          </w:tcPr>
          <w:p w:rsidR="005B2955" w:rsidRDefault="005B2955" w:rsidP="00A57453">
            <w:pPr>
              <w:spacing w:after="0" w:line="252" w:lineRule="auto"/>
            </w:pPr>
            <w:r>
              <w:t>DBS&amp;A</w:t>
            </w:r>
          </w:p>
        </w:tc>
        <w:tc>
          <w:tcPr>
            <w:tcW w:w="3690" w:type="dxa"/>
          </w:tcPr>
          <w:p w:rsidR="005B2955" w:rsidRDefault="005B2955" w:rsidP="00A57453">
            <w:pPr>
              <w:spacing w:after="0" w:line="252" w:lineRule="auto"/>
            </w:pPr>
            <w:r>
              <w:t>smoore@dbstephens.com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Jennie Olguin</w:t>
            </w:r>
          </w:p>
        </w:tc>
        <w:tc>
          <w:tcPr>
            <w:tcW w:w="342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Pueblo of Isleta</w:t>
            </w:r>
          </w:p>
        </w:tc>
        <w:tc>
          <w:tcPr>
            <w:tcW w:w="369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poi36873@isletapueblo.com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Roland Penttila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City of Albuquerque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rpenttila@cabq.gov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Rich Powell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NMED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richard.powell@state.nm.us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5B2955" w:rsidP="00A57453">
            <w:pPr>
              <w:spacing w:after="0" w:line="252" w:lineRule="auto"/>
            </w:pPr>
            <w:r>
              <w:t>Xavier Pettus</w:t>
            </w:r>
          </w:p>
        </w:tc>
        <w:tc>
          <w:tcPr>
            <w:tcW w:w="3420" w:type="dxa"/>
          </w:tcPr>
          <w:p w:rsidR="004C4E5C" w:rsidRPr="0051172A" w:rsidRDefault="005B2955" w:rsidP="00A57453">
            <w:pPr>
              <w:spacing w:after="0" w:line="252" w:lineRule="auto"/>
            </w:pPr>
            <w:r>
              <w:t>City of Rio Rancho</w:t>
            </w:r>
          </w:p>
        </w:tc>
        <w:tc>
          <w:tcPr>
            <w:tcW w:w="3690" w:type="dxa"/>
          </w:tcPr>
          <w:p w:rsidR="004C4E5C" w:rsidRPr="0051172A" w:rsidRDefault="005B2955" w:rsidP="00A57453">
            <w:pPr>
              <w:spacing w:after="0" w:line="252" w:lineRule="auto"/>
            </w:pPr>
            <w:r>
              <w:t>xpettus@ci.rio-rancho@nm.us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Chi</w:t>
            </w:r>
            <w:r w:rsidR="00A37168">
              <w:t>p</w:t>
            </w:r>
            <w:r>
              <w:t xml:space="preserve"> Roma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Sandia Labs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cmroma@sandia.gov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John Romero</w:t>
            </w:r>
          </w:p>
        </w:tc>
        <w:tc>
          <w:tcPr>
            <w:tcW w:w="342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OSE</w:t>
            </w:r>
          </w:p>
        </w:tc>
        <w:tc>
          <w:tcPr>
            <w:tcW w:w="369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john.romero@state.nm.us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Linda Seebach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Village of Los Ranchos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llseebach@losranchosnm.gov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Chris Segura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Kirtland AFB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christopher.segura@kirtland.af.mil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Nelly Smith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EPA Region VI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nelly.smith@epa.gov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Brad Sumrall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Bohannan Huston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bsumrall@bhinc.com</w:t>
            </w:r>
          </w:p>
        </w:tc>
      </w:tr>
      <w:tr w:rsidR="005B2955" w:rsidRPr="0051172A" w:rsidTr="003B6F5D">
        <w:tc>
          <w:tcPr>
            <w:tcW w:w="216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Kathy Trujillo</w:t>
            </w:r>
          </w:p>
        </w:tc>
        <w:tc>
          <w:tcPr>
            <w:tcW w:w="3420" w:type="dxa"/>
          </w:tcPr>
          <w:p w:rsidR="005B2955" w:rsidRPr="0051172A" w:rsidRDefault="005B2955" w:rsidP="00A57453">
            <w:pPr>
              <w:spacing w:after="0" w:line="252" w:lineRule="auto"/>
              <w:rPr>
                <w:lang w:val="es-ES_tradnl"/>
              </w:rPr>
            </w:pPr>
            <w:r>
              <w:rPr>
                <w:lang w:val="es-ES_tradnl"/>
              </w:rPr>
              <w:t>NMDOT-District 3</w:t>
            </w:r>
          </w:p>
        </w:tc>
        <w:tc>
          <w:tcPr>
            <w:tcW w:w="3690" w:type="dxa"/>
          </w:tcPr>
          <w:p w:rsidR="005B2955" w:rsidRPr="0051172A" w:rsidRDefault="005B2955" w:rsidP="00A57453">
            <w:pPr>
              <w:spacing w:after="0" w:line="252" w:lineRule="auto"/>
            </w:pPr>
            <w:r>
              <w:t>kathy.trujillo@state.nm.us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Tim Trujillo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  <w:rPr>
                <w:lang w:val="es-ES_tradnl"/>
              </w:rPr>
            </w:pPr>
            <w:r w:rsidRPr="0051172A">
              <w:rPr>
                <w:lang w:val="es-ES_tradnl"/>
              </w:rPr>
              <w:t>NMDOT</w:t>
            </w:r>
            <w:r>
              <w:rPr>
                <w:lang w:val="es-ES_tradnl"/>
              </w:rPr>
              <w:t>-Drainage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timothyr.trujillo@state.nm.us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Bart Vanden Plas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  <w:rPr>
                <w:lang w:val="es-ES_tradnl"/>
              </w:rPr>
            </w:pPr>
            <w:r>
              <w:rPr>
                <w:lang w:val="es-ES_tradnl"/>
              </w:rPr>
              <w:t>Pueblo of Santa Ana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bart.vandenplas@santaana-nsn.gov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Kathy Verhage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  <w:rPr>
                <w:lang w:val="es-ES_tradnl"/>
              </w:rPr>
            </w:pPr>
            <w:r w:rsidRPr="0051172A">
              <w:rPr>
                <w:lang w:val="es-ES_tradnl"/>
              </w:rPr>
              <w:t>City of Albuquerque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kverhage@cabq.gov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Cody Walker</w:t>
            </w:r>
          </w:p>
        </w:tc>
        <w:tc>
          <w:tcPr>
            <w:tcW w:w="342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Pueblo of Isleta</w:t>
            </w:r>
          </w:p>
        </w:tc>
        <w:tc>
          <w:tcPr>
            <w:tcW w:w="369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poi36004@isletapueblo.com</w:t>
            </w:r>
          </w:p>
        </w:tc>
      </w:tr>
      <w:tr w:rsidR="009D429F" w:rsidRPr="0051172A" w:rsidTr="003B6F5D">
        <w:tc>
          <w:tcPr>
            <w:tcW w:w="216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Susan Woods</w:t>
            </w:r>
          </w:p>
        </w:tc>
        <w:tc>
          <w:tcPr>
            <w:tcW w:w="3420" w:type="dxa"/>
          </w:tcPr>
          <w:p w:rsidR="009D429F" w:rsidRPr="0051172A" w:rsidRDefault="009D429F" w:rsidP="00A57453">
            <w:pPr>
              <w:spacing w:after="0" w:line="252" w:lineRule="auto"/>
            </w:pPr>
            <w:r>
              <w:t>BOR</w:t>
            </w:r>
          </w:p>
        </w:tc>
        <w:tc>
          <w:tcPr>
            <w:tcW w:w="3690" w:type="dxa"/>
          </w:tcPr>
          <w:p w:rsidR="009D429F" w:rsidRPr="0051172A" w:rsidRDefault="005B2955" w:rsidP="00A57453">
            <w:pPr>
              <w:spacing w:after="0" w:line="252" w:lineRule="auto"/>
            </w:pPr>
            <w:r>
              <w:t>swoods@usbr.gov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Wayne Wormhood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Town of Bernalillo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 w:rsidRPr="0051172A">
              <w:t>wwormhood@townofbernalillo.org</w:t>
            </w:r>
          </w:p>
        </w:tc>
      </w:tr>
      <w:tr w:rsidR="004C4E5C" w:rsidRPr="0051172A" w:rsidTr="003B6F5D">
        <w:tc>
          <w:tcPr>
            <w:tcW w:w="216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Matt Zidovsky</w:t>
            </w:r>
          </w:p>
        </w:tc>
        <w:tc>
          <w:tcPr>
            <w:tcW w:w="342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Rep. Martin Heinrich’s Office</w:t>
            </w:r>
          </w:p>
        </w:tc>
        <w:tc>
          <w:tcPr>
            <w:tcW w:w="3690" w:type="dxa"/>
          </w:tcPr>
          <w:p w:rsidR="004C4E5C" w:rsidRPr="0051172A" w:rsidRDefault="004C4E5C" w:rsidP="00A57453">
            <w:pPr>
              <w:spacing w:after="0" w:line="252" w:lineRule="auto"/>
            </w:pPr>
            <w:r>
              <w:t>matthew.zidovsky@mail.house.gov</w:t>
            </w:r>
          </w:p>
        </w:tc>
      </w:tr>
    </w:tbl>
    <w:p w:rsidR="002B1A25" w:rsidRDefault="002B1A25" w:rsidP="00AB2468">
      <w:pPr>
        <w:pStyle w:val="ecxmsonormal"/>
        <w:shd w:val="clear" w:color="auto" w:fill="FFFFFF"/>
        <w:spacing w:after="60"/>
        <w:rPr>
          <w:rFonts w:asciiTheme="minorHAnsi" w:hAnsiTheme="minorHAnsi" w:cs="Tahoma"/>
          <w:sz w:val="21"/>
          <w:szCs w:val="21"/>
        </w:rPr>
      </w:pPr>
    </w:p>
    <w:p w:rsidR="00042E1B" w:rsidRDefault="00042E1B">
      <w:pPr>
        <w:rPr>
          <w:rFonts w:eastAsia="Times New Roman" w:cs="Tahoma"/>
          <w:sz w:val="21"/>
          <w:szCs w:val="21"/>
        </w:rPr>
        <w:sectPr w:rsidR="00042E1B" w:rsidSect="00DA392E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DA392E" w:rsidRPr="001162A3" w:rsidRDefault="00A57453" w:rsidP="00DA392E">
      <w:pPr>
        <w:pStyle w:val="NoSpacing"/>
        <w:jc w:val="center"/>
        <w:rPr>
          <w:b/>
        </w:rPr>
      </w:pPr>
      <w:r>
        <w:rPr>
          <w:b/>
        </w:rPr>
        <w:t xml:space="preserve">APPENDIX: </w:t>
      </w:r>
      <w:r w:rsidR="00DA392E" w:rsidRPr="001162A3">
        <w:rPr>
          <w:b/>
        </w:rPr>
        <w:t>Middle Rio Grande Watershed-Based MS4 Permit</w:t>
      </w:r>
    </w:p>
    <w:p w:rsidR="00DA392E" w:rsidRPr="001162A3" w:rsidRDefault="00DA392E" w:rsidP="00DA392E">
      <w:pPr>
        <w:pStyle w:val="NoSpacing"/>
        <w:jc w:val="center"/>
        <w:rPr>
          <w:b/>
        </w:rPr>
      </w:pPr>
      <w:r>
        <w:rPr>
          <w:b/>
        </w:rPr>
        <w:t xml:space="preserve">Permittee </w:t>
      </w:r>
      <w:r w:rsidRPr="001162A3">
        <w:rPr>
          <w:b/>
        </w:rPr>
        <w:t>Sectors and Menu-Based SWMP</w:t>
      </w:r>
      <w:r>
        <w:rPr>
          <w:b/>
        </w:rPr>
        <w:t xml:space="preserve"> Alternatives</w:t>
      </w:r>
    </w:p>
    <w:p w:rsidR="00DA392E" w:rsidRPr="001162A3" w:rsidRDefault="00DA392E" w:rsidP="00DA392E">
      <w:pPr>
        <w:pStyle w:val="NoSpacing"/>
        <w:jc w:val="center"/>
        <w:rPr>
          <w:b/>
        </w:rPr>
      </w:pPr>
      <w:r w:rsidRPr="001162A3">
        <w:rPr>
          <w:b/>
        </w:rPr>
        <w:t>September 16, 2011</w:t>
      </w:r>
    </w:p>
    <w:p w:rsidR="00DA392E" w:rsidRDefault="00DA392E" w:rsidP="00DA392E">
      <w:pPr>
        <w:pStyle w:val="NoSpacing"/>
        <w:jc w:val="center"/>
      </w:pPr>
    </w:p>
    <w:p w:rsidR="00DA392E" w:rsidRPr="00DA392E" w:rsidRDefault="00DA392E" w:rsidP="00DA392E">
      <w:pPr>
        <w:pStyle w:val="NoSpacing"/>
        <w:numPr>
          <w:ilvl w:val="0"/>
          <w:numId w:val="16"/>
        </w:numPr>
        <w:rPr>
          <w:b/>
          <w:i/>
          <w:sz w:val="21"/>
          <w:szCs w:val="21"/>
          <w:u w:val="single"/>
        </w:rPr>
      </w:pPr>
      <w:r w:rsidRPr="00CD18D2">
        <w:rPr>
          <w:b/>
          <w:i/>
          <w:u w:val="single"/>
        </w:rPr>
        <w:t>Alternatives for establishing permittee sectors (“categories”)</w:t>
      </w:r>
      <w:r w:rsidRPr="00AF1F01">
        <w:rPr>
          <w:b/>
          <w:i/>
          <w:u w:val="single"/>
        </w:rPr>
        <w:br/>
      </w:r>
    </w:p>
    <w:p w:rsidR="00DA392E" w:rsidRPr="00DA392E" w:rsidRDefault="00DA392E" w:rsidP="00DA392E">
      <w:pPr>
        <w:pStyle w:val="NoSpacing"/>
        <w:numPr>
          <w:ilvl w:val="1"/>
          <w:numId w:val="16"/>
        </w:numPr>
        <w:rPr>
          <w:sz w:val="21"/>
          <w:szCs w:val="21"/>
        </w:rPr>
      </w:pPr>
      <w:r w:rsidRPr="00DA392E">
        <w:rPr>
          <w:b/>
          <w:sz w:val="21"/>
          <w:szCs w:val="21"/>
        </w:rPr>
        <w:t>Capacity-based sectors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i/>
          <w:sz w:val="21"/>
          <w:szCs w:val="21"/>
        </w:rPr>
        <w:t xml:space="preserve">Capacity </w:t>
      </w:r>
      <w:r w:rsidRPr="00DA392E">
        <w:rPr>
          <w:sz w:val="21"/>
          <w:szCs w:val="21"/>
        </w:rPr>
        <w:sym w:font="Symbol" w:char="F040"/>
      </w:r>
      <w:r w:rsidRPr="00DA392E">
        <w:rPr>
          <w:sz w:val="21"/>
          <w:szCs w:val="21"/>
        </w:rPr>
        <w:t xml:space="preserve"> MS4 experience x Rulemaking authority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EPA Region 6 determines capacity ratings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Any jurisdiction can negotiate capacity rating with EPA Region 6</w:t>
      </w:r>
      <w:r w:rsidRPr="00DA392E">
        <w:rPr>
          <w:sz w:val="21"/>
          <w:szCs w:val="21"/>
        </w:rPr>
        <w:br/>
      </w:r>
    </w:p>
    <w:tbl>
      <w:tblPr>
        <w:tblStyle w:val="TableGrid"/>
        <w:tblW w:w="0" w:type="auto"/>
        <w:tblInd w:w="1080" w:type="dxa"/>
        <w:tblLook w:val="04A0"/>
      </w:tblPr>
      <w:tblGrid>
        <w:gridCol w:w="1188"/>
        <w:gridCol w:w="1710"/>
        <w:gridCol w:w="2250"/>
        <w:gridCol w:w="3330"/>
      </w:tblGrid>
      <w:tr w:rsidR="00DA392E" w:rsidRPr="00DA392E" w:rsidTr="00A57453">
        <w:tc>
          <w:tcPr>
            <w:tcW w:w="1188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Capacity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MS4 experience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Rulemaking authority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Examples</w:t>
            </w: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High</w:t>
            </w:r>
          </w:p>
        </w:tc>
        <w:tc>
          <w:tcPr>
            <w:tcW w:w="171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High</w:t>
            </w:r>
          </w:p>
        </w:tc>
        <w:tc>
          <w:tcPr>
            <w:tcW w:w="225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Yes</w:t>
            </w:r>
          </w:p>
        </w:tc>
        <w:tc>
          <w:tcPr>
            <w:tcW w:w="333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COA, KAFB</w:t>
            </w: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Mod-High</w:t>
            </w:r>
          </w:p>
        </w:tc>
        <w:tc>
          <w:tcPr>
            <w:tcW w:w="171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Moderate</w:t>
            </w:r>
          </w:p>
        </w:tc>
        <w:tc>
          <w:tcPr>
            <w:tcW w:w="225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Yes</w:t>
            </w:r>
          </w:p>
        </w:tc>
        <w:tc>
          <w:tcPr>
            <w:tcW w:w="333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BC, RR, Corrales</w:t>
            </w: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Mod-Low</w:t>
            </w:r>
          </w:p>
        </w:tc>
        <w:tc>
          <w:tcPr>
            <w:tcW w:w="171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Low</w:t>
            </w:r>
          </w:p>
        </w:tc>
        <w:tc>
          <w:tcPr>
            <w:tcW w:w="225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Yes</w:t>
            </w:r>
          </w:p>
        </w:tc>
        <w:tc>
          <w:tcPr>
            <w:tcW w:w="333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ESCAFCA, Tijeras, MRGCD, Tribes</w:t>
            </w: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Low</w:t>
            </w:r>
          </w:p>
        </w:tc>
        <w:tc>
          <w:tcPr>
            <w:tcW w:w="171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Low</w:t>
            </w:r>
          </w:p>
        </w:tc>
        <w:tc>
          <w:tcPr>
            <w:tcW w:w="225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No</w:t>
            </w:r>
          </w:p>
        </w:tc>
        <w:tc>
          <w:tcPr>
            <w:tcW w:w="333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NMDOT, UNM, SNL</w:t>
            </w:r>
          </w:p>
        </w:tc>
      </w:tr>
    </w:tbl>
    <w:p w:rsidR="00DA392E" w:rsidRPr="00DA392E" w:rsidRDefault="00DA392E" w:rsidP="00DA392E">
      <w:pPr>
        <w:pStyle w:val="NoSpacing"/>
        <w:ind w:left="720"/>
        <w:rPr>
          <w:sz w:val="21"/>
          <w:szCs w:val="21"/>
        </w:rPr>
      </w:pPr>
    </w:p>
    <w:p w:rsidR="00DA392E" w:rsidRPr="00DA392E" w:rsidRDefault="00DA392E" w:rsidP="00DA392E">
      <w:pPr>
        <w:pStyle w:val="NoSpacing"/>
        <w:numPr>
          <w:ilvl w:val="1"/>
          <w:numId w:val="16"/>
        </w:numPr>
        <w:rPr>
          <w:sz w:val="21"/>
          <w:szCs w:val="21"/>
        </w:rPr>
      </w:pPr>
      <w:r w:rsidRPr="00DA392E">
        <w:rPr>
          <w:b/>
          <w:sz w:val="21"/>
          <w:szCs w:val="21"/>
        </w:rPr>
        <w:t>Impact-based sectors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i/>
          <w:sz w:val="21"/>
          <w:szCs w:val="21"/>
        </w:rPr>
        <w:t>Impact</w:t>
      </w:r>
      <w:r w:rsidRPr="00DA392E">
        <w:rPr>
          <w:sz w:val="21"/>
          <w:szCs w:val="21"/>
        </w:rPr>
        <w:t xml:space="preserve"> </w:t>
      </w:r>
      <w:r w:rsidRPr="00DA392E">
        <w:rPr>
          <w:sz w:val="21"/>
          <w:szCs w:val="21"/>
        </w:rPr>
        <w:sym w:font="Symbol" w:char="F040"/>
      </w:r>
      <w:r w:rsidRPr="00DA392E">
        <w:rPr>
          <w:sz w:val="21"/>
          <w:szCs w:val="21"/>
        </w:rPr>
        <w:t xml:space="preserve"> Discharge area x Impervious percentage x Population density (with LID/GI adjustment?)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Factors derived from GIS and census data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Stakeholders and EPA Region 6 agree on modeling approach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Final sector definitions based on numerical impact ratings (task for CRADA?)</w:t>
      </w:r>
      <w:r w:rsidRPr="00DA392E">
        <w:rPr>
          <w:sz w:val="21"/>
          <w:szCs w:val="21"/>
        </w:rPr>
        <w:br/>
      </w:r>
    </w:p>
    <w:tbl>
      <w:tblPr>
        <w:tblStyle w:val="TableGrid"/>
        <w:tblW w:w="0" w:type="auto"/>
        <w:tblInd w:w="1080" w:type="dxa"/>
        <w:tblLook w:val="04A0"/>
      </w:tblPr>
      <w:tblGrid>
        <w:gridCol w:w="1128"/>
        <w:gridCol w:w="1680"/>
        <w:gridCol w:w="1980"/>
        <w:gridCol w:w="1980"/>
        <w:gridCol w:w="1728"/>
      </w:tblGrid>
      <w:tr w:rsidR="00DA392E" w:rsidRPr="00DA392E" w:rsidTr="00A57453">
        <w:tc>
          <w:tcPr>
            <w:tcW w:w="1128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Impact</w:t>
            </w:r>
          </w:p>
        </w:tc>
        <w:tc>
          <w:tcPr>
            <w:tcW w:w="168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Discharge area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Impervious percent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Population density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Example</w:t>
            </w:r>
          </w:p>
        </w:tc>
      </w:tr>
      <w:tr w:rsidR="00DA392E" w:rsidRPr="00DA392E" w:rsidTr="00A57453">
        <w:tc>
          <w:tcPr>
            <w:tcW w:w="1128" w:type="dxa"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6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Large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728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COA</w:t>
            </w:r>
          </w:p>
        </w:tc>
      </w:tr>
      <w:tr w:rsidR="00DA392E" w:rsidRPr="00DA392E" w:rsidTr="00A57453">
        <w:tc>
          <w:tcPr>
            <w:tcW w:w="1128" w:type="dxa"/>
            <w:vMerge w:val="restart"/>
            <w:vAlign w:val="center"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Mod-High</w:t>
            </w:r>
          </w:p>
        </w:tc>
        <w:tc>
          <w:tcPr>
            <w:tcW w:w="16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Large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Low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Low</w:t>
            </w:r>
          </w:p>
        </w:tc>
        <w:tc>
          <w:tcPr>
            <w:tcW w:w="1728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Sandoval Cty</w:t>
            </w:r>
          </w:p>
        </w:tc>
      </w:tr>
      <w:tr w:rsidR="00DA392E" w:rsidRPr="00DA392E" w:rsidTr="00A57453">
        <w:tc>
          <w:tcPr>
            <w:tcW w:w="1128" w:type="dxa"/>
            <w:vMerge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Small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728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SNL</w:t>
            </w:r>
          </w:p>
        </w:tc>
      </w:tr>
      <w:tr w:rsidR="00DA392E" w:rsidRPr="00DA392E" w:rsidTr="00A57453">
        <w:tc>
          <w:tcPr>
            <w:tcW w:w="1128" w:type="dxa"/>
            <w:vMerge w:val="restart"/>
            <w:vAlign w:val="center"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Mod-Low</w:t>
            </w:r>
          </w:p>
        </w:tc>
        <w:tc>
          <w:tcPr>
            <w:tcW w:w="16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Small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Low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728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Corrales</w:t>
            </w:r>
          </w:p>
        </w:tc>
      </w:tr>
      <w:tr w:rsidR="00DA392E" w:rsidRPr="00DA392E" w:rsidTr="00A57453">
        <w:tc>
          <w:tcPr>
            <w:tcW w:w="1128" w:type="dxa"/>
            <w:vMerge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Small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High</w:t>
            </w:r>
          </w:p>
        </w:tc>
        <w:tc>
          <w:tcPr>
            <w:tcW w:w="1728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Bernalillo</w:t>
            </w:r>
          </w:p>
        </w:tc>
      </w:tr>
      <w:tr w:rsidR="00DA392E" w:rsidRPr="00DA392E" w:rsidTr="00A57453">
        <w:tc>
          <w:tcPr>
            <w:tcW w:w="1128" w:type="dxa"/>
          </w:tcPr>
          <w:p w:rsidR="00DA392E" w:rsidRPr="00DA392E" w:rsidRDefault="00DA392E" w:rsidP="00A57453">
            <w:pPr>
              <w:pStyle w:val="NoSpacing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Low</w:t>
            </w:r>
          </w:p>
        </w:tc>
        <w:tc>
          <w:tcPr>
            <w:tcW w:w="16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Small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Low</w:t>
            </w:r>
          </w:p>
        </w:tc>
        <w:tc>
          <w:tcPr>
            <w:tcW w:w="1980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Low</w:t>
            </w:r>
          </w:p>
        </w:tc>
        <w:tc>
          <w:tcPr>
            <w:tcW w:w="1728" w:type="dxa"/>
          </w:tcPr>
          <w:p w:rsidR="00DA392E" w:rsidRPr="00DA392E" w:rsidRDefault="00DA392E" w:rsidP="00A57453">
            <w:pPr>
              <w:pStyle w:val="NoSpacing"/>
              <w:jc w:val="center"/>
              <w:rPr>
                <w:sz w:val="20"/>
                <w:szCs w:val="20"/>
              </w:rPr>
            </w:pPr>
            <w:r w:rsidRPr="00DA392E">
              <w:rPr>
                <w:sz w:val="20"/>
                <w:szCs w:val="20"/>
              </w:rPr>
              <w:t>Tijeras</w:t>
            </w:r>
          </w:p>
        </w:tc>
      </w:tr>
    </w:tbl>
    <w:p w:rsidR="00DA392E" w:rsidRPr="00DA392E" w:rsidRDefault="00DA392E" w:rsidP="00DA392E">
      <w:pPr>
        <w:pStyle w:val="NoSpacing"/>
        <w:ind w:left="360"/>
        <w:rPr>
          <w:sz w:val="20"/>
          <w:szCs w:val="20"/>
        </w:rPr>
      </w:pPr>
    </w:p>
    <w:p w:rsidR="00DA392E" w:rsidRPr="00DA392E" w:rsidRDefault="00DA392E" w:rsidP="00DA392E">
      <w:pPr>
        <w:pStyle w:val="NoSpacing"/>
        <w:numPr>
          <w:ilvl w:val="0"/>
          <w:numId w:val="16"/>
        </w:numPr>
        <w:rPr>
          <w:b/>
          <w:i/>
          <w:sz w:val="21"/>
          <w:szCs w:val="21"/>
          <w:u w:val="single"/>
        </w:rPr>
      </w:pPr>
      <w:r w:rsidRPr="00CD18D2">
        <w:rPr>
          <w:b/>
          <w:i/>
          <w:u w:val="single"/>
        </w:rPr>
        <w:t>Possible Sector-Based SWMP Requirements</w:t>
      </w:r>
      <w:r w:rsidRPr="00CD18D2">
        <w:rPr>
          <w:b/>
          <w:i/>
          <w:u w:val="single"/>
        </w:rPr>
        <w:br/>
      </w:r>
    </w:p>
    <w:tbl>
      <w:tblPr>
        <w:tblStyle w:val="TableGrid"/>
        <w:tblW w:w="0" w:type="auto"/>
        <w:tblInd w:w="1080" w:type="dxa"/>
        <w:tblLook w:val="04A0"/>
      </w:tblPr>
      <w:tblGrid>
        <w:gridCol w:w="1188"/>
        <w:gridCol w:w="1013"/>
        <w:gridCol w:w="1327"/>
        <w:gridCol w:w="1440"/>
        <w:gridCol w:w="1170"/>
        <w:gridCol w:w="1257"/>
        <w:gridCol w:w="1101"/>
      </w:tblGrid>
      <w:tr w:rsidR="00DA392E" w:rsidRPr="00DA392E" w:rsidTr="00A57453">
        <w:tc>
          <w:tcPr>
            <w:tcW w:w="1188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Compliance Strategies</w:t>
            </w:r>
          </w:p>
        </w:tc>
        <w:tc>
          <w:tcPr>
            <w:tcW w:w="3528" w:type="dxa"/>
            <w:gridSpan w:val="3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Monitoring</w:t>
            </w:r>
          </w:p>
        </w:tc>
      </w:tr>
      <w:tr w:rsidR="00DA392E" w:rsidRPr="00DA392E" w:rsidTr="00A57453">
        <w:tc>
          <w:tcPr>
            <w:tcW w:w="1188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Rating</w:t>
            </w:r>
          </w:p>
        </w:tc>
        <w:tc>
          <w:tcPr>
            <w:tcW w:w="1013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Basic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Enhanced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Advanced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River</w:t>
            </w:r>
          </w:p>
        </w:tc>
        <w:tc>
          <w:tcPr>
            <w:tcW w:w="1257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Outfalls</w:t>
            </w:r>
          </w:p>
        </w:tc>
        <w:tc>
          <w:tcPr>
            <w:tcW w:w="1101" w:type="dxa"/>
            <w:shd w:val="clear" w:color="auto" w:fill="B8CCE4" w:themeFill="accent1" w:themeFillTint="66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Industries</w:t>
            </w: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High</w:t>
            </w:r>
          </w:p>
        </w:tc>
        <w:tc>
          <w:tcPr>
            <w:tcW w:w="1013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32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25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101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Mod-High</w:t>
            </w:r>
          </w:p>
        </w:tc>
        <w:tc>
          <w:tcPr>
            <w:tcW w:w="1013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32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25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101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Mod-Low</w:t>
            </w:r>
          </w:p>
        </w:tc>
        <w:tc>
          <w:tcPr>
            <w:tcW w:w="1013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32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25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DA392E" w:rsidRPr="00DA392E" w:rsidTr="00A57453">
        <w:tc>
          <w:tcPr>
            <w:tcW w:w="1188" w:type="dxa"/>
          </w:tcPr>
          <w:p w:rsidR="00DA392E" w:rsidRPr="00DA392E" w:rsidRDefault="00DA392E" w:rsidP="00A57453">
            <w:pPr>
              <w:pStyle w:val="NoSpacing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t>Low</w:t>
            </w:r>
          </w:p>
        </w:tc>
        <w:tc>
          <w:tcPr>
            <w:tcW w:w="1013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32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  <w:r w:rsidRPr="00DA392E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257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A392E" w:rsidRPr="00DA392E" w:rsidRDefault="00DA392E" w:rsidP="00A57453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</w:tbl>
    <w:p w:rsidR="00DA392E" w:rsidRPr="00DA392E" w:rsidRDefault="00DA392E" w:rsidP="00DA392E">
      <w:pPr>
        <w:pStyle w:val="NoSpacing"/>
        <w:ind w:left="720"/>
        <w:rPr>
          <w:sz w:val="21"/>
          <w:szCs w:val="21"/>
        </w:rPr>
      </w:pPr>
    </w:p>
    <w:p w:rsidR="00DA392E" w:rsidRPr="00DA392E" w:rsidRDefault="00DA392E" w:rsidP="00DA392E">
      <w:pPr>
        <w:pStyle w:val="NoSpacing"/>
        <w:numPr>
          <w:ilvl w:val="1"/>
          <w:numId w:val="16"/>
        </w:numPr>
        <w:rPr>
          <w:b/>
          <w:sz w:val="21"/>
          <w:szCs w:val="21"/>
        </w:rPr>
      </w:pPr>
      <w:r w:rsidRPr="00DA392E">
        <w:rPr>
          <w:b/>
          <w:sz w:val="21"/>
          <w:szCs w:val="21"/>
        </w:rPr>
        <w:t>Compliance strategies examples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Basic: Small resource commitment</w:t>
      </w:r>
    </w:p>
    <w:p w:rsidR="00DA392E" w:rsidRPr="00DA392E" w:rsidRDefault="00DA392E" w:rsidP="00DA392E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6 minimum measures only</w:t>
      </w:r>
    </w:p>
    <w:p w:rsidR="00DA392E" w:rsidRPr="00DA392E" w:rsidRDefault="00DA392E" w:rsidP="00DA392E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1-3 [?] strategies per measure (defined in permit)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Enhanced: Moderate resource commitment</w:t>
      </w:r>
    </w:p>
    <w:p w:rsidR="00DA392E" w:rsidRPr="00DA392E" w:rsidRDefault="00DA392E" w:rsidP="00DA392E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 xml:space="preserve"> “Basic” + 1-3 [?] additional strategies per measure</w:t>
      </w:r>
    </w:p>
    <w:p w:rsidR="00DA392E" w:rsidRPr="00DA392E" w:rsidRDefault="00DA392E" w:rsidP="00DA392E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Additional strategies chosen from menu (or proposed to/approved by EPA Regions 6)</w:t>
      </w:r>
    </w:p>
    <w:p w:rsidR="00DA392E" w:rsidRPr="00DA392E" w:rsidRDefault="00DA392E" w:rsidP="00DA392E">
      <w:pPr>
        <w:pStyle w:val="NoSpacing"/>
        <w:numPr>
          <w:ilvl w:val="2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Advanced: High resource commitment</w:t>
      </w:r>
    </w:p>
    <w:p w:rsidR="00DA392E" w:rsidRPr="00DA392E" w:rsidRDefault="00DA392E" w:rsidP="00DA392E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“Enhanced” + 1-3 [?] additional strategies per measure</w:t>
      </w:r>
    </w:p>
    <w:p w:rsidR="00DA392E" w:rsidRPr="00DA392E" w:rsidRDefault="00DA392E" w:rsidP="00DA392E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Additional strategies chosen from menu (or proposed to/approved by EPA Regions 6)</w:t>
      </w:r>
    </w:p>
    <w:p w:rsidR="00042E1B" w:rsidRPr="00A57453" w:rsidRDefault="00DA392E" w:rsidP="00A57453">
      <w:pPr>
        <w:pStyle w:val="NoSpacing"/>
        <w:numPr>
          <w:ilvl w:val="3"/>
          <w:numId w:val="16"/>
        </w:numPr>
        <w:rPr>
          <w:sz w:val="21"/>
          <w:szCs w:val="21"/>
        </w:rPr>
      </w:pPr>
      <w:r w:rsidRPr="00DA392E">
        <w:rPr>
          <w:sz w:val="21"/>
          <w:szCs w:val="21"/>
        </w:rPr>
        <w:t>Additional measures (defined in permit) and strategies (e.g. industry outreach program)</w:t>
      </w:r>
    </w:p>
    <w:sectPr w:rsidR="00042E1B" w:rsidRPr="00A57453" w:rsidSect="00DA392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D9" w:rsidRDefault="00DA43D9" w:rsidP="00A52832">
      <w:pPr>
        <w:spacing w:after="0" w:line="240" w:lineRule="auto"/>
      </w:pPr>
      <w:r>
        <w:separator/>
      </w:r>
    </w:p>
  </w:endnote>
  <w:endnote w:type="continuationSeparator" w:id="0">
    <w:p w:rsidR="00DA43D9" w:rsidRDefault="00DA43D9" w:rsidP="00A5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3" w:rsidRPr="005D526B" w:rsidRDefault="00A57453" w:rsidP="005D526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8"/>
      </w:rPr>
    </w:pPr>
  </w:p>
  <w:p w:rsidR="00A57453" w:rsidRPr="00A52832" w:rsidRDefault="00A57453">
    <w:pPr>
      <w:pStyle w:val="Footer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Watershed-Based MS4 Permit Stakeholder Group ● Summary of September 16, 2011 Meeting</w:t>
    </w:r>
    <w:r>
      <w:rPr>
        <w:rFonts w:ascii="Times New Roman" w:hAnsi="Times New Roman" w:cs="Times New Roman"/>
        <w:i/>
        <w:sz w:val="18"/>
      </w:rPr>
      <w:tab/>
    </w:r>
    <w:r w:rsidR="00D85811" w:rsidRPr="005D526B">
      <w:rPr>
        <w:rFonts w:ascii="Times New Roman" w:hAnsi="Times New Roman" w:cs="Times New Roman"/>
        <w:sz w:val="18"/>
      </w:rPr>
      <w:fldChar w:fldCharType="begin"/>
    </w:r>
    <w:r w:rsidRPr="005D526B">
      <w:rPr>
        <w:rFonts w:ascii="Times New Roman" w:hAnsi="Times New Roman" w:cs="Times New Roman"/>
        <w:sz w:val="18"/>
      </w:rPr>
      <w:instrText xml:space="preserve"> PAGE   \* MERGEFORMAT </w:instrText>
    </w:r>
    <w:r w:rsidR="00D85811" w:rsidRPr="005D526B">
      <w:rPr>
        <w:rFonts w:ascii="Times New Roman" w:hAnsi="Times New Roman" w:cs="Times New Roman"/>
        <w:sz w:val="18"/>
      </w:rPr>
      <w:fldChar w:fldCharType="separate"/>
    </w:r>
    <w:r w:rsidR="00745188">
      <w:rPr>
        <w:rFonts w:ascii="Times New Roman" w:hAnsi="Times New Roman" w:cs="Times New Roman"/>
        <w:noProof/>
        <w:sz w:val="18"/>
      </w:rPr>
      <w:t>4</w:t>
    </w:r>
    <w:r w:rsidR="00D85811" w:rsidRPr="005D526B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D9" w:rsidRDefault="00DA43D9" w:rsidP="00A52832">
      <w:pPr>
        <w:spacing w:after="0" w:line="240" w:lineRule="auto"/>
      </w:pPr>
      <w:r>
        <w:separator/>
      </w:r>
    </w:p>
  </w:footnote>
  <w:footnote w:type="continuationSeparator" w:id="0">
    <w:p w:rsidR="00DA43D9" w:rsidRDefault="00DA43D9" w:rsidP="00A5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E80613"/>
    <w:multiLevelType w:val="hybridMultilevel"/>
    <w:tmpl w:val="4EF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C79"/>
    <w:multiLevelType w:val="hybridMultilevel"/>
    <w:tmpl w:val="B55E5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53A7"/>
    <w:multiLevelType w:val="hybridMultilevel"/>
    <w:tmpl w:val="0A0E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3A48"/>
    <w:multiLevelType w:val="hybridMultilevel"/>
    <w:tmpl w:val="3CF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6D3"/>
    <w:multiLevelType w:val="multilevel"/>
    <w:tmpl w:val="0409001F"/>
    <w:numStyleLink w:val="Style1"/>
  </w:abstractNum>
  <w:abstractNum w:abstractNumId="6">
    <w:nsid w:val="406A62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A52502"/>
    <w:multiLevelType w:val="hybridMultilevel"/>
    <w:tmpl w:val="E42A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E7B"/>
    <w:multiLevelType w:val="hybridMultilevel"/>
    <w:tmpl w:val="13D4198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49C551ED"/>
    <w:multiLevelType w:val="multilevel"/>
    <w:tmpl w:val="9440D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A43847"/>
    <w:multiLevelType w:val="hybridMultilevel"/>
    <w:tmpl w:val="C4FA4B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1F024C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52332B41"/>
    <w:multiLevelType w:val="hybridMultilevel"/>
    <w:tmpl w:val="0EAC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D6B23"/>
    <w:multiLevelType w:val="hybridMultilevel"/>
    <w:tmpl w:val="F432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E1FF3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68AC6D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A75B5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4">
    <w:abstractNumId w:val="11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04"/>
    <w:rsid w:val="0000493E"/>
    <w:rsid w:val="0000584E"/>
    <w:rsid w:val="00042E1B"/>
    <w:rsid w:val="0009107F"/>
    <w:rsid w:val="000D5FDD"/>
    <w:rsid w:val="000F6004"/>
    <w:rsid w:val="001226CF"/>
    <w:rsid w:val="00150D13"/>
    <w:rsid w:val="001652B4"/>
    <w:rsid w:val="00192FC4"/>
    <w:rsid w:val="00201AE6"/>
    <w:rsid w:val="00210093"/>
    <w:rsid w:val="002532F6"/>
    <w:rsid w:val="002B1A25"/>
    <w:rsid w:val="003106D2"/>
    <w:rsid w:val="00317BC3"/>
    <w:rsid w:val="0033133F"/>
    <w:rsid w:val="0037763B"/>
    <w:rsid w:val="003B6525"/>
    <w:rsid w:val="003B6F5D"/>
    <w:rsid w:val="004364B4"/>
    <w:rsid w:val="00440402"/>
    <w:rsid w:val="004441A5"/>
    <w:rsid w:val="0045126A"/>
    <w:rsid w:val="004C4E5C"/>
    <w:rsid w:val="004D22C5"/>
    <w:rsid w:val="004E131B"/>
    <w:rsid w:val="00535424"/>
    <w:rsid w:val="00563EEC"/>
    <w:rsid w:val="005B2955"/>
    <w:rsid w:val="005D526B"/>
    <w:rsid w:val="005E1C3C"/>
    <w:rsid w:val="005E3379"/>
    <w:rsid w:val="00627927"/>
    <w:rsid w:val="00636D65"/>
    <w:rsid w:val="0065071C"/>
    <w:rsid w:val="0066744F"/>
    <w:rsid w:val="00715C5E"/>
    <w:rsid w:val="00717298"/>
    <w:rsid w:val="00745188"/>
    <w:rsid w:val="00780EE1"/>
    <w:rsid w:val="007C79F5"/>
    <w:rsid w:val="007E54BE"/>
    <w:rsid w:val="00842579"/>
    <w:rsid w:val="008620D0"/>
    <w:rsid w:val="008977E0"/>
    <w:rsid w:val="008A0CB6"/>
    <w:rsid w:val="008A60A3"/>
    <w:rsid w:val="009508EE"/>
    <w:rsid w:val="009528E1"/>
    <w:rsid w:val="00967A58"/>
    <w:rsid w:val="00970FF5"/>
    <w:rsid w:val="009A4F5E"/>
    <w:rsid w:val="009A514C"/>
    <w:rsid w:val="009B40CC"/>
    <w:rsid w:val="009D429F"/>
    <w:rsid w:val="00A17BF5"/>
    <w:rsid w:val="00A37168"/>
    <w:rsid w:val="00A52832"/>
    <w:rsid w:val="00A57453"/>
    <w:rsid w:val="00A6464B"/>
    <w:rsid w:val="00A75E7B"/>
    <w:rsid w:val="00A94421"/>
    <w:rsid w:val="00AB2468"/>
    <w:rsid w:val="00AB4625"/>
    <w:rsid w:val="00AC6D59"/>
    <w:rsid w:val="00B469CC"/>
    <w:rsid w:val="00B864FE"/>
    <w:rsid w:val="00BE61D3"/>
    <w:rsid w:val="00C05C22"/>
    <w:rsid w:val="00D40FEE"/>
    <w:rsid w:val="00D60939"/>
    <w:rsid w:val="00D66857"/>
    <w:rsid w:val="00D713FD"/>
    <w:rsid w:val="00D75B21"/>
    <w:rsid w:val="00D825CA"/>
    <w:rsid w:val="00D85811"/>
    <w:rsid w:val="00DA392E"/>
    <w:rsid w:val="00DA43D9"/>
    <w:rsid w:val="00DA6153"/>
    <w:rsid w:val="00E617BB"/>
    <w:rsid w:val="00E70BF7"/>
    <w:rsid w:val="00ED1A23"/>
    <w:rsid w:val="00EE12C6"/>
    <w:rsid w:val="00F07DAE"/>
    <w:rsid w:val="00F431A2"/>
    <w:rsid w:val="00F974D2"/>
    <w:rsid w:val="00FE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05C2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F6004"/>
    <w:pPr>
      <w:ind w:left="720"/>
      <w:contextualSpacing/>
    </w:pPr>
  </w:style>
  <w:style w:type="paragraph" w:customStyle="1" w:styleId="ecxmsonormal">
    <w:name w:val="ecxmsonormal"/>
    <w:basedOn w:val="Normal"/>
    <w:rsid w:val="009B40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9B40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832"/>
  </w:style>
  <w:style w:type="paragraph" w:styleId="Footer">
    <w:name w:val="footer"/>
    <w:basedOn w:val="Normal"/>
    <w:link w:val="FooterChar"/>
    <w:uiPriority w:val="99"/>
    <w:unhideWhenUsed/>
    <w:rsid w:val="00A5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32"/>
  </w:style>
  <w:style w:type="paragraph" w:styleId="BalloonText">
    <w:name w:val="Balloon Text"/>
    <w:basedOn w:val="Normal"/>
    <w:link w:val="BalloonTextChar"/>
    <w:uiPriority w:val="99"/>
    <w:semiHidden/>
    <w:unhideWhenUsed/>
    <w:rsid w:val="005D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3FD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042E1B"/>
    <w:pPr>
      <w:spacing w:after="0" w:line="240" w:lineRule="auto"/>
      <w:ind w:left="180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2E1B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42E1B"/>
    <w:pPr>
      <w:spacing w:after="0" w:line="240" w:lineRule="auto"/>
      <w:ind w:left="180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42E1B"/>
    <w:rPr>
      <w:rFonts w:ascii="Arial" w:eastAsia="Times New Roman" w:hAnsi="Arial" w:cs="Times New Roman"/>
      <w:sz w:val="24"/>
      <w:szCs w:val="20"/>
    </w:rPr>
  </w:style>
  <w:style w:type="paragraph" w:customStyle="1" w:styleId="Style11">
    <w:name w:val="Style 11"/>
    <w:rsid w:val="00042E1B"/>
    <w:pPr>
      <w:widowControl w:val="0"/>
      <w:autoSpaceDE w:val="0"/>
      <w:autoSpaceDN w:val="0"/>
      <w:spacing w:after="0" w:line="273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 14"/>
    <w:rsid w:val="00042E1B"/>
    <w:pPr>
      <w:widowControl w:val="0"/>
      <w:autoSpaceDE w:val="0"/>
      <w:autoSpaceDN w:val="0"/>
      <w:spacing w:before="36" w:after="72" w:line="240" w:lineRule="auto"/>
      <w:ind w:left="1008" w:right="72"/>
    </w:pPr>
    <w:rPr>
      <w:rFonts w:ascii="Garamond" w:eastAsia="Times New Roman" w:hAnsi="Garamond" w:cs="Garamond"/>
      <w:sz w:val="24"/>
      <w:szCs w:val="24"/>
    </w:rPr>
  </w:style>
  <w:style w:type="paragraph" w:customStyle="1" w:styleId="Style10">
    <w:name w:val="Style 1"/>
    <w:rsid w:val="0004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042E1B"/>
    <w:rPr>
      <w:rFonts w:ascii="Arial" w:hAnsi="Arial"/>
      <w:sz w:val="24"/>
    </w:rPr>
  </w:style>
  <w:style w:type="character" w:customStyle="1" w:styleId="CharacterStyle3">
    <w:name w:val="Character Style 3"/>
    <w:rsid w:val="00042E1B"/>
    <w:rPr>
      <w:rFonts w:ascii="Garamond" w:hAnsi="Garamond"/>
      <w:sz w:val="24"/>
    </w:rPr>
  </w:style>
  <w:style w:type="paragraph" w:customStyle="1" w:styleId="Style16">
    <w:name w:val="Style 16"/>
    <w:rsid w:val="00042E1B"/>
    <w:pPr>
      <w:widowControl w:val="0"/>
      <w:autoSpaceDE w:val="0"/>
      <w:autoSpaceDN w:val="0"/>
      <w:spacing w:before="108" w:after="0" w:line="240" w:lineRule="auto"/>
      <w:ind w:left="100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0">
    <w:name w:val="Style 10"/>
    <w:rsid w:val="00042E1B"/>
    <w:pPr>
      <w:widowControl w:val="0"/>
      <w:autoSpaceDE w:val="0"/>
      <w:autoSpaceDN w:val="0"/>
      <w:spacing w:before="36" w:after="72" w:line="240" w:lineRule="auto"/>
      <w:ind w:left="1152" w:right="72"/>
      <w:jc w:val="both"/>
    </w:pPr>
    <w:rPr>
      <w:rFonts w:ascii="Garamond" w:eastAsia="Times New Roman" w:hAnsi="Garamond" w:cs="Garamond"/>
      <w:sz w:val="24"/>
      <w:szCs w:val="24"/>
    </w:rPr>
  </w:style>
  <w:style w:type="paragraph" w:styleId="NoSpacing">
    <w:name w:val="No Spacing"/>
    <w:uiPriority w:val="1"/>
    <w:qFormat/>
    <w:rsid w:val="00DA392E"/>
    <w:pPr>
      <w:spacing w:after="0" w:line="240" w:lineRule="auto"/>
    </w:pPr>
  </w:style>
  <w:style w:type="table" w:styleId="TableGrid">
    <w:name w:val="Table Grid"/>
    <w:basedOn w:val="TableNormal"/>
    <w:uiPriority w:val="59"/>
    <w:rsid w:val="00DA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0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442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2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6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0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0059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8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0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560978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4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92AC-C26F-47FB-847B-22810B2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sue.hansen</cp:lastModifiedBy>
  <cp:revision>2</cp:revision>
  <dcterms:created xsi:type="dcterms:W3CDTF">2011-10-12T18:39:00Z</dcterms:created>
  <dcterms:modified xsi:type="dcterms:W3CDTF">2011-10-12T18:39:00Z</dcterms:modified>
</cp:coreProperties>
</file>